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1800"/>
        <w:gridCol w:w="3028"/>
        <w:gridCol w:w="743"/>
      </w:tblGrid>
      <w:tr w:rsidR="002914D6">
        <w:trPr>
          <w:trHeight w:val="295"/>
          <w:jc w:val="center"/>
        </w:trPr>
        <w:tc>
          <w:tcPr>
            <w:tcW w:w="5049" w:type="dxa"/>
            <w:gridSpan w:val="2"/>
          </w:tcPr>
          <w:p w:rsidR="002914D6" w:rsidRDefault="002914D6">
            <w:pPr>
              <w:rPr>
                <w:rFonts w:ascii="Arial" w:hAnsi="Arial" w:hint="cs"/>
                <w:b/>
                <w:bCs/>
                <w:noProof w:val="0"/>
                <w:sz w:val="26"/>
                <w:szCs w:val="26"/>
                <w:rtl/>
              </w:rPr>
            </w:pPr>
            <w:bookmarkStart w:id="0" w:name="_GoBack"/>
            <w:bookmarkEnd w:id="0"/>
          </w:p>
        </w:tc>
        <w:tc>
          <w:tcPr>
            <w:tcW w:w="3771" w:type="dxa"/>
            <w:gridSpan w:val="2"/>
          </w:tcPr>
          <w:p w:rsidR="002914D6" w:rsidRDefault="002914D6">
            <w:pPr>
              <w:jc w:val="right"/>
              <w:rPr>
                <w:rFonts w:ascii="Arial" w:hAnsi="Arial"/>
                <w:b/>
                <w:bCs/>
                <w:noProof w:val="0"/>
                <w:sz w:val="26"/>
                <w:szCs w:val="26"/>
                <w:rtl/>
              </w:rPr>
            </w:pPr>
          </w:p>
        </w:tc>
      </w:tr>
      <w:tr w:rsidR="0092512A">
        <w:trPr>
          <w:gridAfter w:val="1"/>
          <w:wAfter w:w="743" w:type="dxa"/>
          <w:jc w:val="center"/>
        </w:trPr>
        <w:tc>
          <w:tcPr>
            <w:tcW w:w="8077" w:type="dxa"/>
            <w:gridSpan w:val="3"/>
          </w:tcPr>
          <w:p w:rsidR="0092512A" w:rsidRDefault="0092512A">
            <w:pPr>
              <w:rPr>
                <w:rFonts w:ascii="Arial" w:hAnsi="Arial"/>
                <w:b/>
                <w:bCs/>
                <w:rtl/>
              </w:rPr>
            </w:pPr>
            <w:r>
              <w:rPr>
                <w:rFonts w:ascii="Arial" w:hAnsi="Arial" w:hint="cs"/>
                <w:b/>
                <w:bCs/>
                <w:rtl/>
              </w:rPr>
              <w:t>לפני 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איריס אילוטוביץ' סגל</w:t>
                </w:r>
              </w:sdtContent>
            </w:sdt>
          </w:p>
          <w:p w:rsidR="0092512A" w:rsidRDefault="0092512A">
            <w:pPr>
              <w:rPr>
                <w:rFonts w:ascii="Arial" w:hAnsi="Arial" w:cs="FrankRuehl"/>
                <w:sz w:val="28"/>
                <w:szCs w:val="28"/>
                <w:highlight w:val="yellow"/>
              </w:rPr>
            </w:pPr>
          </w:p>
        </w:tc>
      </w:tr>
      <w:tr w:rsidR="002914D6">
        <w:trPr>
          <w:jc w:val="center"/>
        </w:trPr>
        <w:tc>
          <w:tcPr>
            <w:tcW w:w="3249" w:type="dxa"/>
          </w:tcPr>
          <w:p w:rsidR="002914D6" w:rsidRDefault="002914D6">
            <w:pPr>
              <w:bidi w:val="0"/>
              <w:jc w:val="right"/>
              <w:rPr>
                <w:rFonts w:ascii="Arial" w:hAnsi="Arial"/>
                <w:b/>
                <w:bCs/>
                <w:noProof w:val="0"/>
                <w:sz w:val="26"/>
                <w:szCs w:val="26"/>
              </w:rPr>
            </w:pPr>
          </w:p>
          <w:sdt>
            <w:sdtPr>
              <w:alias w:val="1180"/>
              <w:tag w:val="1180"/>
              <w:id w:val="1559975633"/>
              <w:text w:multiLine="1"/>
            </w:sdtPr>
            <w:sdtEndPr/>
            <w:sdtContent>
              <w:p w:rsidR="00BB3225" w:rsidRDefault="00EA5C70" w:rsidP="003819EA">
                <w:pPr>
                  <w:bidi w:val="0"/>
                  <w:jc w:val="right"/>
                  <w:rPr>
                    <w:rFonts w:ascii="Arial" w:hAnsi="Arial"/>
                    <w:b/>
                    <w:bCs/>
                    <w:noProof w:val="0"/>
                    <w:sz w:val="26"/>
                    <w:szCs w:val="26"/>
                    <w:rtl/>
                  </w:rPr>
                </w:pPr>
                <w:r>
                  <w:rPr>
                    <w:rFonts w:ascii="Arial" w:hAnsi="Arial"/>
                    <w:b/>
                    <w:bCs/>
                    <w:noProof w:val="0"/>
                    <w:sz w:val="26"/>
                    <w:szCs w:val="26"/>
                    <w:rtl/>
                  </w:rPr>
                  <w:t>מבקש</w:t>
                </w:r>
                <w:r w:rsidR="003819EA">
                  <w:rPr>
                    <w:rFonts w:ascii="Arial" w:hAnsi="Arial" w:hint="cs"/>
                    <w:b/>
                    <w:bCs/>
                    <w:noProof w:val="0"/>
                    <w:sz w:val="26"/>
                    <w:szCs w:val="26"/>
                    <w:rtl/>
                  </w:rPr>
                  <w:t>ת</w:t>
                </w:r>
              </w:p>
            </w:sdtContent>
          </w:sdt>
        </w:tc>
        <w:tc>
          <w:tcPr>
            <w:tcW w:w="5571" w:type="dxa"/>
            <w:gridSpan w:val="3"/>
          </w:tcPr>
          <w:p w:rsidR="002914D6" w:rsidRDefault="002914D6">
            <w:pPr>
              <w:rPr>
                <w:rFonts w:ascii="Arial" w:hAnsi="Arial"/>
                <w:b/>
                <w:bCs/>
                <w:noProof w:val="0"/>
                <w:sz w:val="26"/>
                <w:szCs w:val="26"/>
              </w:rPr>
            </w:pPr>
          </w:p>
          <w:p w:rsidR="002914D6" w:rsidRDefault="00527635">
            <w:pPr>
              <w:rPr>
                <w:b/>
                <w:bCs/>
                <w:noProof w:val="0"/>
                <w:sz w:val="26"/>
                <w:szCs w:val="26"/>
              </w:rPr>
            </w:pPr>
            <w:r>
              <w:rPr>
                <w:rFonts w:ascii="Arial" w:hAnsi="Arial" w:hint="cs"/>
                <w:b/>
                <w:bCs/>
                <w:noProof w:val="0"/>
                <w:sz w:val="26"/>
                <w:szCs w:val="26"/>
                <w:rtl/>
              </w:rPr>
              <w:t>ת.ק</w:t>
            </w:r>
          </w:p>
        </w:tc>
      </w:tr>
      <w:tr w:rsidR="002914D6">
        <w:trPr>
          <w:jc w:val="center"/>
        </w:trPr>
        <w:tc>
          <w:tcPr>
            <w:tcW w:w="8820" w:type="dxa"/>
            <w:gridSpan w:val="4"/>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tcPr>
          <w:p w:rsidR="002914D6" w:rsidRDefault="002914D6">
            <w:pPr>
              <w:rPr>
                <w:rFonts w:ascii="Arial" w:hAnsi="Arial"/>
                <w:b/>
                <w:bCs/>
                <w:noProof w:val="0"/>
                <w:sz w:val="26"/>
                <w:szCs w:val="26"/>
                <w:rtl/>
              </w:rPr>
            </w:pPr>
          </w:p>
          <w:p w:rsidR="002914D6" w:rsidRDefault="00E01D5C">
            <w:pPr>
              <w:rPr>
                <w:rFonts w:ascii="Arial" w:hAnsi="Arial"/>
                <w:b/>
                <w:bCs/>
                <w:noProof w:val="0"/>
                <w:sz w:val="26"/>
                <w:szCs w:val="26"/>
              </w:rPr>
            </w:pPr>
            <w:sdt>
              <w:sdtPr>
                <w:rPr>
                  <w:rtl/>
                </w:rPr>
                <w:alias w:val="1184"/>
                <w:tag w:val="1184"/>
                <w:id w:val="386307046"/>
                <w:text w:multiLine="1"/>
              </w:sdtPr>
              <w:sdtEndPr/>
              <w:sdtContent>
                <w:r w:rsidR="003819EA">
                  <w:rPr>
                    <w:rFonts w:ascii="Arial" w:hAnsi="Arial"/>
                    <w:b/>
                    <w:bCs/>
                    <w:noProof w:val="0"/>
                    <w:sz w:val="26"/>
                    <w:szCs w:val="26"/>
                    <w:rtl/>
                  </w:rPr>
                  <w:t>משיב</w:t>
                </w:r>
              </w:sdtContent>
            </w:sdt>
          </w:p>
        </w:tc>
        <w:tc>
          <w:tcPr>
            <w:tcW w:w="5571" w:type="dxa"/>
            <w:gridSpan w:val="3"/>
          </w:tcPr>
          <w:p w:rsidR="002914D6" w:rsidRDefault="002914D6">
            <w:pPr>
              <w:rPr>
                <w:rFonts w:ascii="Arial" w:hAnsi="Arial"/>
                <w:b/>
                <w:bCs/>
                <w:noProof w:val="0"/>
                <w:sz w:val="26"/>
                <w:szCs w:val="26"/>
                <w:rtl/>
              </w:rPr>
            </w:pPr>
          </w:p>
          <w:p w:rsidR="002914D6" w:rsidRDefault="00527635" w:rsidP="00527635">
            <w:pPr>
              <w:rPr>
                <w:b/>
                <w:bCs/>
                <w:noProof w:val="0"/>
                <w:sz w:val="26"/>
                <w:szCs w:val="26"/>
                <w:rtl/>
              </w:rPr>
            </w:pPr>
            <w:r>
              <w:rPr>
                <w:rFonts w:ascii="Arial" w:hAnsi="Arial" w:hint="cs"/>
                <w:b/>
                <w:bCs/>
                <w:noProof w:val="0"/>
                <w:sz w:val="26"/>
                <w:szCs w:val="26"/>
                <w:rtl/>
              </w:rPr>
              <w:t>י.ק</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3819EA" w:rsidRPr="00B46075" w:rsidRDefault="00232604" w:rsidP="00902194">
      <w:pPr>
        <w:spacing w:after="160" w:line="360" w:lineRule="auto"/>
        <w:contextualSpacing/>
        <w:jc w:val="both"/>
        <w:rPr>
          <w:rFonts w:ascii="Arial" w:hAnsi="Arial"/>
          <w:b/>
          <w:bCs/>
          <w:rtl/>
        </w:rPr>
      </w:pPr>
      <w:r w:rsidRPr="00B46075">
        <w:rPr>
          <w:rFonts w:ascii="Arial" w:hAnsi="Arial" w:hint="cs"/>
          <w:b/>
          <w:bCs/>
          <w:noProof w:val="0"/>
          <w:rtl/>
        </w:rPr>
        <w:t xml:space="preserve">לפני בקשה </w:t>
      </w:r>
      <w:r w:rsidR="00741C90" w:rsidRPr="00B46075">
        <w:rPr>
          <w:rFonts w:ascii="Arial" w:hAnsi="Arial"/>
          <w:b/>
          <w:bCs/>
          <w:noProof w:val="0"/>
          <w:rtl/>
        </w:rPr>
        <w:t xml:space="preserve">מטעם התובעת להפסקת התובענה </w:t>
      </w:r>
      <w:r w:rsidRPr="00B46075">
        <w:rPr>
          <w:rFonts w:ascii="Arial" w:hAnsi="Arial" w:hint="cs"/>
          <w:b/>
          <w:bCs/>
          <w:noProof w:val="0"/>
          <w:rtl/>
        </w:rPr>
        <w:t>למזונות</w:t>
      </w:r>
      <w:r w:rsidR="00AB4D2D" w:rsidRPr="00B46075">
        <w:rPr>
          <w:rFonts w:ascii="Arial" w:hAnsi="Arial" w:hint="cs"/>
          <w:b/>
          <w:bCs/>
          <w:noProof w:val="0"/>
          <w:rtl/>
        </w:rPr>
        <w:t xml:space="preserve"> אשה</w:t>
      </w:r>
      <w:r w:rsidRPr="00B46075">
        <w:rPr>
          <w:rFonts w:ascii="Arial" w:hAnsi="Arial" w:hint="cs"/>
          <w:b/>
          <w:bCs/>
          <w:noProof w:val="0"/>
          <w:rtl/>
        </w:rPr>
        <w:t xml:space="preserve"> ולמזונות קטינים</w:t>
      </w:r>
      <w:r w:rsidR="001012B6">
        <w:rPr>
          <w:rFonts w:ascii="Arial" w:hAnsi="Arial" w:hint="cs"/>
          <w:b/>
          <w:bCs/>
          <w:noProof w:val="0"/>
          <w:rtl/>
        </w:rPr>
        <w:t>,</w:t>
      </w:r>
      <w:r w:rsidR="00D04C58" w:rsidRPr="00B46075">
        <w:rPr>
          <w:rFonts w:ascii="Arial" w:hAnsi="Arial" w:hint="cs"/>
          <w:b/>
          <w:bCs/>
          <w:noProof w:val="0"/>
          <w:rtl/>
        </w:rPr>
        <w:t xml:space="preserve"> </w:t>
      </w:r>
      <w:r w:rsidR="00741C90" w:rsidRPr="00B46075">
        <w:rPr>
          <w:rFonts w:ascii="Arial" w:hAnsi="Arial" w:hint="cs"/>
          <w:b/>
          <w:bCs/>
          <w:noProof w:val="0"/>
          <w:rtl/>
        </w:rPr>
        <w:t>וזאת לפי תקנה 44 לתקנות סדר הדין האזרחי, התשע"ט-2018 (להלן- "התקנות").</w:t>
      </w:r>
    </w:p>
    <w:p w:rsidR="00A00C6F" w:rsidRDefault="00A00C6F" w:rsidP="00A00C6F">
      <w:pPr>
        <w:spacing w:line="360" w:lineRule="auto"/>
        <w:contextualSpacing/>
        <w:jc w:val="both"/>
        <w:rPr>
          <w:rFonts w:ascii="Arial" w:hAnsi="Arial"/>
          <w:b/>
          <w:bCs/>
          <w:u w:val="single"/>
          <w:rtl/>
        </w:rPr>
      </w:pPr>
    </w:p>
    <w:p w:rsidR="003819EA" w:rsidRDefault="00A00C6F" w:rsidP="00A00C6F">
      <w:pPr>
        <w:spacing w:line="360" w:lineRule="auto"/>
        <w:contextualSpacing/>
        <w:jc w:val="both"/>
        <w:rPr>
          <w:rFonts w:ascii="Arial" w:hAnsi="Arial"/>
          <w:b/>
          <w:bCs/>
          <w:u w:val="single"/>
          <w:rtl/>
        </w:rPr>
      </w:pPr>
      <w:r w:rsidRPr="00A00C6F">
        <w:rPr>
          <w:rFonts w:ascii="Arial" w:hAnsi="Arial" w:hint="cs"/>
          <w:b/>
          <w:bCs/>
          <w:u w:val="single"/>
          <w:rtl/>
        </w:rPr>
        <w:t>עיקר העובדות בתמצית</w:t>
      </w:r>
    </w:p>
    <w:p w:rsidR="001012B6" w:rsidRPr="00A00C6F" w:rsidRDefault="001012B6" w:rsidP="00A00C6F">
      <w:pPr>
        <w:spacing w:line="360" w:lineRule="auto"/>
        <w:contextualSpacing/>
        <w:jc w:val="both"/>
        <w:rPr>
          <w:rFonts w:ascii="Arial" w:hAnsi="Arial"/>
          <w:b/>
          <w:bCs/>
          <w:u w:val="single"/>
          <w:rtl/>
        </w:rPr>
      </w:pPr>
    </w:p>
    <w:p w:rsidR="00A00C6F" w:rsidRDefault="00232604" w:rsidP="0068447A">
      <w:pPr>
        <w:numPr>
          <w:ilvl w:val="0"/>
          <w:numId w:val="1"/>
        </w:numPr>
        <w:spacing w:after="160" w:line="360" w:lineRule="auto"/>
        <w:ind w:left="0" w:firstLine="0"/>
        <w:contextualSpacing/>
        <w:jc w:val="both"/>
        <w:rPr>
          <w:rFonts w:ascii="Arial" w:hAnsi="Arial"/>
        </w:rPr>
      </w:pPr>
      <w:r w:rsidRPr="00A00C6F">
        <w:rPr>
          <w:rFonts w:ascii="Arial" w:hAnsi="Arial" w:hint="cs"/>
          <w:rtl/>
        </w:rPr>
        <w:t>ביום 15.11.2022 הגישה המבקשת בקשה להפסקת התובענה למזונות אשה ולמזונות קטינים (להלן</w:t>
      </w:r>
      <w:r w:rsidR="0068447A" w:rsidRPr="00A00C6F">
        <w:rPr>
          <w:rFonts w:ascii="Arial" w:hAnsi="Arial" w:hint="cs"/>
          <w:rtl/>
        </w:rPr>
        <w:t xml:space="preserve"> -</w:t>
      </w:r>
      <w:r w:rsidRPr="00A00C6F">
        <w:rPr>
          <w:rFonts w:ascii="Arial" w:hAnsi="Arial" w:hint="cs"/>
          <w:rtl/>
        </w:rPr>
        <w:t xml:space="preserve"> "</w:t>
      </w:r>
      <w:r w:rsidRPr="00576B23">
        <w:rPr>
          <w:rFonts w:ascii="Arial" w:hAnsi="Arial" w:hint="cs"/>
          <w:b/>
          <w:bCs/>
          <w:rtl/>
        </w:rPr>
        <w:t>הבקשה</w:t>
      </w:r>
      <w:r w:rsidRPr="00A00C6F">
        <w:rPr>
          <w:rFonts w:ascii="Arial" w:hAnsi="Arial" w:hint="cs"/>
          <w:rtl/>
        </w:rPr>
        <w:t xml:space="preserve">"). </w:t>
      </w:r>
    </w:p>
    <w:p w:rsidR="00A00C6F" w:rsidRDefault="00A00C6F" w:rsidP="00A00C6F">
      <w:pPr>
        <w:spacing w:after="160" w:line="360" w:lineRule="auto"/>
        <w:contextualSpacing/>
        <w:jc w:val="both"/>
        <w:rPr>
          <w:rFonts w:ascii="Arial" w:hAnsi="Arial"/>
          <w:rtl/>
        </w:rPr>
      </w:pPr>
    </w:p>
    <w:p w:rsidR="003819EA" w:rsidRDefault="001C19AF" w:rsidP="00A60359">
      <w:pPr>
        <w:numPr>
          <w:ilvl w:val="0"/>
          <w:numId w:val="1"/>
        </w:numPr>
        <w:spacing w:after="160" w:line="360" w:lineRule="auto"/>
        <w:ind w:left="0" w:firstLine="0"/>
        <w:contextualSpacing/>
        <w:jc w:val="both"/>
        <w:rPr>
          <w:rFonts w:ascii="Arial" w:hAnsi="Arial"/>
        </w:rPr>
      </w:pPr>
      <w:r>
        <w:rPr>
          <w:rFonts w:ascii="Arial" w:hAnsi="Arial" w:hint="cs"/>
          <w:rtl/>
        </w:rPr>
        <w:t>המבקשת מבססת את בקשתה על שינוי נסיבות, שמהותו ב</w:t>
      </w:r>
      <w:r w:rsidR="00D04C58">
        <w:rPr>
          <w:rFonts w:ascii="Arial" w:hAnsi="Arial" w:hint="cs"/>
          <w:rtl/>
        </w:rPr>
        <w:t>יטול</w:t>
      </w:r>
      <w:r>
        <w:rPr>
          <w:rFonts w:ascii="Arial" w:hAnsi="Arial" w:hint="cs"/>
          <w:rtl/>
        </w:rPr>
        <w:t xml:space="preserve"> חיובי מזונות הקטינים</w:t>
      </w:r>
      <w:r w:rsidR="001012B6">
        <w:rPr>
          <w:rFonts w:ascii="Arial" w:hAnsi="Arial" w:hint="cs"/>
          <w:rtl/>
        </w:rPr>
        <w:t>,</w:t>
      </w:r>
      <w:r>
        <w:rPr>
          <w:rFonts w:ascii="Arial" w:hAnsi="Arial" w:hint="cs"/>
          <w:rtl/>
        </w:rPr>
        <w:t xml:space="preserve"> נוכח מעברם</w:t>
      </w:r>
      <w:r w:rsidR="001012B6">
        <w:rPr>
          <w:rFonts w:ascii="Arial" w:hAnsi="Arial" w:hint="cs"/>
          <w:rtl/>
        </w:rPr>
        <w:t xml:space="preserve"> </w:t>
      </w:r>
      <w:r w:rsidR="00766B25">
        <w:rPr>
          <w:rFonts w:ascii="Arial" w:hAnsi="Arial" w:hint="cs"/>
          <w:rtl/>
        </w:rPr>
        <w:t>במספר פעימות</w:t>
      </w:r>
      <w:r w:rsidR="001012B6">
        <w:rPr>
          <w:rFonts w:ascii="Arial" w:hAnsi="Arial" w:hint="cs"/>
          <w:rtl/>
        </w:rPr>
        <w:t>,</w:t>
      </w:r>
      <w:r w:rsidR="00766B25">
        <w:rPr>
          <w:rFonts w:ascii="Arial" w:hAnsi="Arial" w:hint="cs"/>
          <w:rtl/>
        </w:rPr>
        <w:t xml:space="preserve"> </w:t>
      </w:r>
      <w:r>
        <w:rPr>
          <w:rFonts w:ascii="Arial" w:hAnsi="Arial" w:hint="cs"/>
          <w:rtl/>
        </w:rPr>
        <w:t>במועדים שונים, מבי</w:t>
      </w:r>
      <w:r w:rsidR="00D617D9">
        <w:rPr>
          <w:rFonts w:ascii="Arial" w:hAnsi="Arial" w:hint="cs"/>
          <w:rtl/>
        </w:rPr>
        <w:t>ת</w:t>
      </w:r>
      <w:r w:rsidR="00D04C58">
        <w:rPr>
          <w:rFonts w:ascii="Arial" w:hAnsi="Arial" w:hint="cs"/>
          <w:rtl/>
        </w:rPr>
        <w:t>ה</w:t>
      </w:r>
      <w:r w:rsidR="00D617D9">
        <w:rPr>
          <w:rFonts w:ascii="Arial" w:hAnsi="Arial" w:hint="cs"/>
          <w:rtl/>
        </w:rPr>
        <w:t xml:space="preserve"> לבית המשיב</w:t>
      </w:r>
      <w:r w:rsidR="00A00C6F">
        <w:rPr>
          <w:rFonts w:ascii="Arial" w:hAnsi="Arial" w:hint="cs"/>
          <w:rtl/>
        </w:rPr>
        <w:t xml:space="preserve"> (כאשר </w:t>
      </w:r>
      <w:r w:rsidR="001012B6">
        <w:rPr>
          <w:rFonts w:ascii="Arial" w:hAnsi="Arial" w:hint="cs"/>
          <w:rtl/>
        </w:rPr>
        <w:t xml:space="preserve">העזיבה האחרונה נעשתה </w:t>
      </w:r>
      <w:r w:rsidR="00A00C6F">
        <w:rPr>
          <w:rFonts w:ascii="Arial" w:hAnsi="Arial" w:hint="cs"/>
          <w:rtl/>
        </w:rPr>
        <w:t>ביולי 2022)</w:t>
      </w:r>
      <w:r w:rsidR="00D617D9">
        <w:rPr>
          <w:rFonts w:ascii="Arial" w:hAnsi="Arial" w:hint="cs"/>
          <w:rtl/>
        </w:rPr>
        <w:t xml:space="preserve">. על כן, לשיטת המבקשת, עם ביטול החיוב במזונות הקטינים, מתייתר הצורך בהמשך ניהול </w:t>
      </w:r>
      <w:r w:rsidR="00A00C6F">
        <w:rPr>
          <w:rFonts w:ascii="Arial" w:hAnsi="Arial" w:hint="cs"/>
          <w:rtl/>
        </w:rPr>
        <w:t xml:space="preserve">ההליך </w:t>
      </w:r>
      <w:r w:rsidR="001012B6">
        <w:rPr>
          <w:rFonts w:ascii="Arial" w:hAnsi="Arial" w:hint="cs"/>
          <w:rtl/>
        </w:rPr>
        <w:t>ויש</w:t>
      </w:r>
      <w:r w:rsidR="00A00C6F">
        <w:rPr>
          <w:rFonts w:ascii="Arial" w:hAnsi="Arial" w:hint="cs"/>
          <w:rtl/>
        </w:rPr>
        <w:t xml:space="preserve"> להורות על סגירת התיק ומחיקתו</w:t>
      </w:r>
      <w:r w:rsidR="00A60359">
        <w:rPr>
          <w:rFonts w:ascii="Arial" w:hAnsi="Arial" w:hint="cs"/>
          <w:rtl/>
        </w:rPr>
        <w:t>. הבקשה דנן היא המשך ישיר להצעת בית המשפט כפי שהובאה במהלך הדיון שהתקיים ביום 9.11.2022.</w:t>
      </w:r>
    </w:p>
    <w:p w:rsidR="00A00C6F" w:rsidRDefault="00A00C6F" w:rsidP="00A00C6F">
      <w:pPr>
        <w:pStyle w:val="ac"/>
        <w:rPr>
          <w:rFonts w:ascii="Arial" w:hAnsi="Arial"/>
          <w:rtl/>
        </w:rPr>
      </w:pPr>
    </w:p>
    <w:p w:rsidR="00A00C6F" w:rsidRPr="00A00C6F" w:rsidRDefault="00A60359" w:rsidP="001012B6">
      <w:pPr>
        <w:spacing w:after="160" w:line="360" w:lineRule="auto"/>
        <w:ind w:firstLine="720"/>
        <w:contextualSpacing/>
        <w:jc w:val="both"/>
        <w:rPr>
          <w:rFonts w:ascii="Arial" w:hAnsi="Arial"/>
        </w:rPr>
      </w:pPr>
      <w:r>
        <w:rPr>
          <w:rFonts w:ascii="Arial" w:hAnsi="Arial" w:hint="cs"/>
          <w:rtl/>
        </w:rPr>
        <w:t xml:space="preserve">לטענת המבקשת </w:t>
      </w:r>
      <w:r w:rsidR="00A00C6F" w:rsidRPr="00A00C6F">
        <w:rPr>
          <w:rFonts w:ascii="Arial" w:hAnsi="Arial" w:hint="cs"/>
          <w:rtl/>
        </w:rPr>
        <w:t>התנגדות המשיב לבקשה</w:t>
      </w:r>
      <w:r>
        <w:rPr>
          <w:rFonts w:ascii="Arial" w:hAnsi="Arial" w:hint="cs"/>
          <w:rtl/>
        </w:rPr>
        <w:t>,</w:t>
      </w:r>
      <w:r w:rsidR="00A00C6F" w:rsidRPr="00A00C6F">
        <w:rPr>
          <w:rFonts w:ascii="Arial" w:hAnsi="Arial" w:hint="cs"/>
          <w:rtl/>
        </w:rPr>
        <w:t xml:space="preserve"> נובעת מרצונו </w:t>
      </w:r>
      <w:r w:rsidR="00A00C6F" w:rsidRPr="00A00C6F">
        <w:rPr>
          <w:rFonts w:ascii="Arial" w:hAnsi="Arial"/>
          <w:rtl/>
        </w:rPr>
        <w:t xml:space="preserve">לעשות שימוש </w:t>
      </w:r>
      <w:r w:rsidR="00A00C6F" w:rsidRPr="00A00C6F">
        <w:rPr>
          <w:rFonts w:ascii="Arial" w:hAnsi="Arial" w:hint="cs"/>
          <w:rtl/>
        </w:rPr>
        <w:t>בחוות הדעת של השמאי שהוגשה בתיק לשם</w:t>
      </w:r>
      <w:r w:rsidR="00A00C6F" w:rsidRPr="00A00C6F">
        <w:rPr>
          <w:rFonts w:ascii="Arial" w:hAnsi="Arial"/>
          <w:rtl/>
        </w:rPr>
        <w:t xml:space="preserve"> הערכת נכסיה החיצונים</w:t>
      </w:r>
      <w:r w:rsidR="001012B6">
        <w:rPr>
          <w:rFonts w:ascii="Arial" w:hAnsi="Arial" w:hint="cs"/>
          <w:rtl/>
        </w:rPr>
        <w:t xml:space="preserve">, </w:t>
      </w:r>
      <w:r w:rsidR="00A00C6F" w:rsidRPr="00A00C6F">
        <w:rPr>
          <w:rFonts w:ascii="Arial" w:hAnsi="Arial"/>
          <w:rtl/>
        </w:rPr>
        <w:t>וזאת לשם קידום תביעתו הרכושית כנגדה</w:t>
      </w:r>
      <w:r w:rsidR="00A00C6F" w:rsidRPr="00A00C6F">
        <w:rPr>
          <w:rFonts w:ascii="Arial" w:hAnsi="Arial" w:hint="cs"/>
          <w:rtl/>
        </w:rPr>
        <w:t>, וכן לשם הוכחת טענתו לזכאותו להפרשי סכומי המזונות שנגבו ביתר</w:t>
      </w:r>
      <w:r w:rsidR="00A00C6F">
        <w:rPr>
          <w:rFonts w:ascii="Arial" w:hAnsi="Arial" w:hint="cs"/>
          <w:rtl/>
        </w:rPr>
        <w:t>.</w:t>
      </w:r>
      <w:r w:rsidR="00A00C6F" w:rsidRPr="00A00C6F">
        <w:rPr>
          <w:rFonts w:ascii="Arial" w:hAnsi="Arial" w:hint="cs"/>
          <w:rtl/>
        </w:rPr>
        <w:t xml:space="preserve"> טענה זו משוללת יסוד לנוכח הפסיקה</w:t>
      </w:r>
      <w:r w:rsidR="00A00C6F">
        <w:rPr>
          <w:rFonts w:ascii="Arial" w:hAnsi="Arial" w:hint="cs"/>
          <w:rtl/>
        </w:rPr>
        <w:t>,</w:t>
      </w:r>
      <w:r w:rsidR="00A00C6F" w:rsidRPr="00A00C6F">
        <w:rPr>
          <w:rFonts w:ascii="Arial" w:hAnsi="Arial" w:hint="cs"/>
          <w:rtl/>
        </w:rPr>
        <w:t xml:space="preserve"> שלפיה לא ניתן </w:t>
      </w:r>
      <w:r w:rsidR="00A00C6F" w:rsidRPr="00A00C6F">
        <w:rPr>
          <w:rFonts w:ascii="Arial" w:hAnsi="Arial"/>
          <w:rtl/>
        </w:rPr>
        <w:t>להשיב מזונות שנאכלו.</w:t>
      </w:r>
      <w:r w:rsidR="00A00C6F" w:rsidRPr="00A00C6F">
        <w:rPr>
          <w:rFonts w:ascii="Arial" w:hAnsi="Arial" w:hint="cs"/>
          <w:rtl/>
        </w:rPr>
        <w:t xml:space="preserve"> יתרה מזאת, </w:t>
      </w:r>
      <w:r w:rsidR="00A00C6F" w:rsidRPr="00A00C6F">
        <w:rPr>
          <w:rFonts w:ascii="Arial" w:hAnsi="Arial"/>
          <w:rtl/>
        </w:rPr>
        <w:t xml:space="preserve">המזונות </w:t>
      </w:r>
      <w:r w:rsidR="00A00C6F">
        <w:rPr>
          <w:rFonts w:ascii="Arial" w:hAnsi="Arial" w:hint="cs"/>
          <w:rtl/>
        </w:rPr>
        <w:t>הזמניים שנפסקו</w:t>
      </w:r>
      <w:r w:rsidR="00A00C6F" w:rsidRPr="00A00C6F">
        <w:rPr>
          <w:rFonts w:ascii="Arial" w:hAnsi="Arial"/>
          <w:rtl/>
        </w:rPr>
        <w:t xml:space="preserve"> אינם מזונות שנגבו ביתר נוכח </w:t>
      </w:r>
      <w:r w:rsidR="001012B6">
        <w:rPr>
          <w:rFonts w:ascii="Arial" w:hAnsi="Arial" w:hint="cs"/>
          <w:rtl/>
        </w:rPr>
        <w:t>הראיות</w:t>
      </w:r>
      <w:r w:rsidR="00A00C6F" w:rsidRPr="00A00C6F">
        <w:rPr>
          <w:rFonts w:ascii="Arial" w:hAnsi="Arial"/>
          <w:rtl/>
        </w:rPr>
        <w:t xml:space="preserve"> שהוצגו ונוכח פערי ההשתכרות בין הצדדים.</w:t>
      </w:r>
    </w:p>
    <w:p w:rsidR="00A00C6F" w:rsidRDefault="00A00C6F" w:rsidP="00A00C6F">
      <w:pPr>
        <w:pStyle w:val="ac"/>
        <w:rPr>
          <w:rFonts w:ascii="Arial" w:hAnsi="Arial"/>
          <w:rtl/>
        </w:rPr>
      </w:pPr>
    </w:p>
    <w:p w:rsidR="0068447A" w:rsidRDefault="00D617D9" w:rsidP="001012B6">
      <w:pPr>
        <w:numPr>
          <w:ilvl w:val="0"/>
          <w:numId w:val="1"/>
        </w:numPr>
        <w:spacing w:after="160" w:line="360" w:lineRule="auto"/>
        <w:ind w:left="0" w:firstLine="0"/>
        <w:contextualSpacing/>
        <w:jc w:val="both"/>
        <w:rPr>
          <w:rFonts w:ascii="Arial" w:hAnsi="Arial"/>
        </w:rPr>
      </w:pPr>
      <w:r>
        <w:rPr>
          <w:rFonts w:ascii="Arial" w:hAnsi="Arial" w:hint="cs"/>
          <w:rtl/>
        </w:rPr>
        <w:t>בתגובת ה</w:t>
      </w:r>
      <w:r w:rsidR="001531BE">
        <w:rPr>
          <w:rFonts w:ascii="Arial" w:hAnsi="Arial" w:hint="cs"/>
          <w:rtl/>
        </w:rPr>
        <w:t>משיב</w:t>
      </w:r>
      <w:r>
        <w:rPr>
          <w:rFonts w:ascii="Arial" w:hAnsi="Arial" w:hint="cs"/>
          <w:rtl/>
        </w:rPr>
        <w:t xml:space="preserve"> מיום 24.11.2022 הובעה התנגדות</w:t>
      </w:r>
      <w:r w:rsidR="0068447A">
        <w:rPr>
          <w:rFonts w:ascii="Arial" w:hAnsi="Arial" w:hint="cs"/>
          <w:rtl/>
        </w:rPr>
        <w:t>ו</w:t>
      </w:r>
      <w:r>
        <w:rPr>
          <w:rFonts w:ascii="Arial" w:hAnsi="Arial" w:hint="cs"/>
          <w:rtl/>
        </w:rPr>
        <w:t xml:space="preserve"> </w:t>
      </w:r>
      <w:r w:rsidR="001531BE">
        <w:rPr>
          <w:rFonts w:ascii="Arial" w:hAnsi="Arial" w:hint="cs"/>
          <w:rtl/>
        </w:rPr>
        <w:t xml:space="preserve">לסגירת התיק ומחיקת התובענה, תוך עמידה </w:t>
      </w:r>
      <w:r w:rsidR="00ED2513">
        <w:rPr>
          <w:rFonts w:ascii="Arial" w:hAnsi="Arial" w:hint="cs"/>
          <w:rtl/>
        </w:rPr>
        <w:t>על מתן פסק דין, שלטעמ</w:t>
      </w:r>
      <w:r w:rsidR="001531BE">
        <w:rPr>
          <w:rFonts w:ascii="Arial" w:hAnsi="Arial" w:hint="cs"/>
          <w:rtl/>
        </w:rPr>
        <w:t>ו</w:t>
      </w:r>
      <w:r w:rsidR="00ED2513">
        <w:rPr>
          <w:rFonts w:ascii="Arial" w:hAnsi="Arial" w:hint="cs"/>
          <w:rtl/>
        </w:rPr>
        <w:t>, יבסס את זכות</w:t>
      </w:r>
      <w:r w:rsidR="001531BE">
        <w:rPr>
          <w:rFonts w:ascii="Arial" w:hAnsi="Arial" w:hint="cs"/>
          <w:rtl/>
        </w:rPr>
        <w:t>ו</w:t>
      </w:r>
      <w:r w:rsidR="00ED2513">
        <w:rPr>
          <w:rFonts w:ascii="Arial" w:hAnsi="Arial" w:hint="cs"/>
          <w:rtl/>
        </w:rPr>
        <w:t xml:space="preserve"> להשבת </w:t>
      </w:r>
      <w:r w:rsidR="001012B6">
        <w:rPr>
          <w:rFonts w:ascii="Arial" w:hAnsi="Arial" w:hint="cs"/>
          <w:rtl/>
        </w:rPr>
        <w:t>ה</w:t>
      </w:r>
      <w:r w:rsidR="00ED2513">
        <w:rPr>
          <w:rFonts w:ascii="Arial" w:hAnsi="Arial" w:hint="cs"/>
          <w:rtl/>
        </w:rPr>
        <w:t xml:space="preserve">מזונות שנגבו ביתר </w:t>
      </w:r>
      <w:r w:rsidR="001531BE">
        <w:rPr>
          <w:rFonts w:ascii="Arial" w:hAnsi="Arial" w:hint="cs"/>
          <w:rtl/>
        </w:rPr>
        <w:t>מכוח</w:t>
      </w:r>
      <w:r w:rsidR="00ED2513">
        <w:rPr>
          <w:rFonts w:ascii="Arial" w:hAnsi="Arial" w:hint="cs"/>
          <w:rtl/>
        </w:rPr>
        <w:t xml:space="preserve"> ההחלטה למזונות זמניים מיום 10.12.2018.</w:t>
      </w:r>
      <w:r w:rsidR="00043FCC">
        <w:rPr>
          <w:rFonts w:ascii="Arial" w:hAnsi="Arial" w:hint="cs"/>
          <w:rtl/>
        </w:rPr>
        <w:t xml:space="preserve"> </w:t>
      </w:r>
    </w:p>
    <w:p w:rsidR="0068447A" w:rsidRDefault="0068447A" w:rsidP="0068447A">
      <w:pPr>
        <w:pStyle w:val="ac"/>
        <w:rPr>
          <w:rFonts w:ascii="Arial" w:hAnsi="Arial"/>
          <w:rtl/>
        </w:rPr>
      </w:pPr>
    </w:p>
    <w:p w:rsidR="00D617D9" w:rsidRDefault="00043FCC" w:rsidP="001012B6">
      <w:pPr>
        <w:spacing w:after="160" w:line="360" w:lineRule="auto"/>
        <w:ind w:firstLine="720"/>
        <w:contextualSpacing/>
        <w:jc w:val="both"/>
        <w:rPr>
          <w:rFonts w:ascii="Arial" w:hAnsi="Arial"/>
        </w:rPr>
      </w:pPr>
      <w:r>
        <w:rPr>
          <w:rFonts w:ascii="Arial" w:hAnsi="Arial" w:hint="cs"/>
          <w:rtl/>
        </w:rPr>
        <w:lastRenderedPageBreak/>
        <w:t>בנוסף, טען המשיב</w:t>
      </w:r>
      <w:r w:rsidR="001531BE">
        <w:rPr>
          <w:rFonts w:ascii="Arial" w:hAnsi="Arial" w:hint="cs"/>
          <w:rtl/>
        </w:rPr>
        <w:t>,</w:t>
      </w:r>
      <w:r>
        <w:rPr>
          <w:rFonts w:ascii="Arial" w:hAnsi="Arial" w:hint="cs"/>
          <w:rtl/>
        </w:rPr>
        <w:t xml:space="preserve"> כי הבקשה הוגשה בחוסר תום לב, תוך ניצול לרעה של הליכי בית המשפט</w:t>
      </w:r>
      <w:r w:rsidR="001012B6">
        <w:rPr>
          <w:rFonts w:ascii="Arial" w:hAnsi="Arial" w:hint="cs"/>
          <w:rtl/>
        </w:rPr>
        <w:t>.</w:t>
      </w:r>
      <w:r>
        <w:rPr>
          <w:rFonts w:ascii="Arial" w:hAnsi="Arial" w:hint="cs"/>
          <w:rtl/>
        </w:rPr>
        <w:t xml:space="preserve"> </w:t>
      </w:r>
      <w:r w:rsidR="001531BE">
        <w:rPr>
          <w:rFonts w:ascii="Arial" w:hAnsi="Arial" w:hint="cs"/>
          <w:rtl/>
        </w:rPr>
        <w:t>בשים לב לשלב הגשתה</w:t>
      </w:r>
      <w:r>
        <w:rPr>
          <w:rFonts w:ascii="Arial" w:hAnsi="Arial" w:hint="cs"/>
          <w:rtl/>
        </w:rPr>
        <w:t>, לאחר סיום שלב הראיות</w:t>
      </w:r>
      <w:r w:rsidR="001531BE">
        <w:rPr>
          <w:rFonts w:ascii="Arial" w:hAnsi="Arial" w:hint="cs"/>
          <w:rtl/>
        </w:rPr>
        <w:t xml:space="preserve"> ובסמוך להערכת נכסי המבקשת</w:t>
      </w:r>
      <w:r>
        <w:rPr>
          <w:rFonts w:ascii="Arial" w:hAnsi="Arial" w:hint="cs"/>
          <w:rtl/>
        </w:rPr>
        <w:t xml:space="preserve"> בחוות דעת השמאי, ונוכח </w:t>
      </w:r>
      <w:r w:rsidR="001012B6">
        <w:rPr>
          <w:rFonts w:ascii="Arial" w:hAnsi="Arial" w:hint="cs"/>
          <w:rtl/>
        </w:rPr>
        <w:t>הבנת</w:t>
      </w:r>
      <w:r>
        <w:rPr>
          <w:rFonts w:ascii="Arial" w:hAnsi="Arial" w:hint="cs"/>
          <w:rtl/>
        </w:rPr>
        <w:t xml:space="preserve"> המבקשת כי לכשינתן פסק הדין בתובענה, תיאלץ להש</w:t>
      </w:r>
      <w:r w:rsidR="001531BE">
        <w:rPr>
          <w:rFonts w:ascii="Arial" w:hAnsi="Arial" w:hint="cs"/>
          <w:rtl/>
        </w:rPr>
        <w:t xml:space="preserve">יב </w:t>
      </w:r>
      <w:r w:rsidR="00A60359">
        <w:rPr>
          <w:rFonts w:ascii="Arial" w:hAnsi="Arial" w:hint="cs"/>
          <w:rtl/>
        </w:rPr>
        <w:t>לו כספים בשל ה</w:t>
      </w:r>
      <w:r w:rsidR="001531BE">
        <w:rPr>
          <w:rFonts w:ascii="Arial" w:hAnsi="Arial" w:hint="cs"/>
          <w:rtl/>
        </w:rPr>
        <w:t>מזונות שנגבו בי</w:t>
      </w:r>
      <w:r>
        <w:rPr>
          <w:rFonts w:ascii="Arial" w:hAnsi="Arial" w:hint="cs"/>
          <w:rtl/>
        </w:rPr>
        <w:t>תר.</w:t>
      </w:r>
    </w:p>
    <w:p w:rsidR="00D617D9" w:rsidRDefault="00D617D9" w:rsidP="00AB4D2D">
      <w:pPr>
        <w:pStyle w:val="ac"/>
        <w:ind w:left="0"/>
        <w:rPr>
          <w:rFonts w:ascii="Arial" w:hAnsi="Arial"/>
          <w:rtl/>
        </w:rPr>
      </w:pPr>
    </w:p>
    <w:p w:rsidR="00BE30DE" w:rsidRDefault="001258F1" w:rsidP="00AB4D2D">
      <w:pPr>
        <w:spacing w:after="160" w:line="360" w:lineRule="auto"/>
        <w:contextualSpacing/>
        <w:jc w:val="both"/>
        <w:rPr>
          <w:rFonts w:ascii="Arial" w:hAnsi="Arial"/>
          <w:b/>
          <w:bCs/>
          <w:sz w:val="28"/>
          <w:szCs w:val="28"/>
          <w:u w:val="single"/>
          <w:rtl/>
        </w:rPr>
      </w:pPr>
      <w:r w:rsidRPr="001258F1">
        <w:rPr>
          <w:rFonts w:ascii="Arial" w:hAnsi="Arial" w:hint="cs"/>
          <w:b/>
          <w:bCs/>
          <w:sz w:val="28"/>
          <w:szCs w:val="28"/>
          <w:u w:val="single"/>
          <w:rtl/>
        </w:rPr>
        <w:t>דיון והכרעה</w:t>
      </w:r>
    </w:p>
    <w:p w:rsidR="002932AF" w:rsidRDefault="002932AF" w:rsidP="002932AF">
      <w:pPr>
        <w:spacing w:after="160" w:line="360" w:lineRule="auto"/>
        <w:contextualSpacing/>
        <w:jc w:val="both"/>
        <w:rPr>
          <w:rFonts w:ascii="Arial" w:hAnsi="Arial"/>
        </w:rPr>
      </w:pPr>
    </w:p>
    <w:p w:rsidR="00944683" w:rsidRDefault="00BE30DE" w:rsidP="00576B23">
      <w:pPr>
        <w:numPr>
          <w:ilvl w:val="0"/>
          <w:numId w:val="1"/>
        </w:numPr>
        <w:spacing w:after="160" w:line="360" w:lineRule="auto"/>
        <w:ind w:left="0" w:firstLine="0"/>
        <w:contextualSpacing/>
        <w:jc w:val="both"/>
        <w:rPr>
          <w:rFonts w:ascii="Arial" w:hAnsi="Arial"/>
        </w:rPr>
      </w:pPr>
      <w:r>
        <w:rPr>
          <w:rFonts w:ascii="Arial" w:hAnsi="Arial" w:hint="cs"/>
          <w:rtl/>
        </w:rPr>
        <w:t>לאחר שעיינתי בטענות הצדדים, כפי שבאו לידי</w:t>
      </w:r>
      <w:r w:rsidR="00944683">
        <w:rPr>
          <w:rFonts w:ascii="Arial" w:hAnsi="Arial" w:hint="cs"/>
          <w:rtl/>
        </w:rPr>
        <w:t xml:space="preserve"> ביטוי בתגובות ובתשובות, אני מוצאת כי לא ניתן להיעתר לבקשה להפסקת התובענה</w:t>
      </w:r>
      <w:r w:rsidR="002932AF">
        <w:rPr>
          <w:rFonts w:ascii="Arial" w:hAnsi="Arial" w:hint="cs"/>
          <w:rtl/>
        </w:rPr>
        <w:t xml:space="preserve"> ב</w:t>
      </w:r>
      <w:r w:rsidR="00576B23">
        <w:rPr>
          <w:rFonts w:ascii="Arial" w:hAnsi="Arial" w:hint="cs"/>
          <w:rtl/>
        </w:rPr>
        <w:t>מ</w:t>
      </w:r>
      <w:r w:rsidR="002932AF">
        <w:rPr>
          <w:rFonts w:ascii="Arial" w:hAnsi="Arial" w:hint="cs"/>
          <w:rtl/>
        </w:rPr>
        <w:t>קרה דנן</w:t>
      </w:r>
      <w:r w:rsidR="00BD48E3">
        <w:rPr>
          <w:rFonts w:ascii="Arial" w:hAnsi="Arial" w:hint="cs"/>
          <w:rtl/>
        </w:rPr>
        <w:t>.</w:t>
      </w:r>
      <w:r w:rsidR="00944683">
        <w:rPr>
          <w:rFonts w:ascii="Arial" w:hAnsi="Arial" w:hint="cs"/>
          <w:rtl/>
        </w:rPr>
        <w:t xml:space="preserve"> </w:t>
      </w:r>
      <w:r w:rsidR="00BD48E3">
        <w:rPr>
          <w:rFonts w:ascii="Arial" w:hAnsi="Arial" w:hint="cs"/>
          <w:rtl/>
        </w:rPr>
        <w:t>ואנמק את דבריי.</w:t>
      </w:r>
    </w:p>
    <w:p w:rsidR="002932AF" w:rsidRDefault="002932AF" w:rsidP="002932AF">
      <w:pPr>
        <w:spacing w:after="160" w:line="360" w:lineRule="auto"/>
        <w:contextualSpacing/>
        <w:jc w:val="both"/>
        <w:rPr>
          <w:rFonts w:ascii="Arial" w:hAnsi="Arial"/>
        </w:rPr>
      </w:pPr>
    </w:p>
    <w:p w:rsidR="002932AF" w:rsidRPr="002932AF" w:rsidRDefault="002932AF" w:rsidP="002932AF">
      <w:pPr>
        <w:numPr>
          <w:ilvl w:val="0"/>
          <w:numId w:val="1"/>
        </w:numPr>
        <w:spacing w:after="160" w:line="360" w:lineRule="auto"/>
        <w:ind w:left="0" w:firstLine="0"/>
        <w:contextualSpacing/>
        <w:jc w:val="both"/>
        <w:rPr>
          <w:rFonts w:ascii="Arial" w:hAnsi="Arial"/>
        </w:rPr>
      </w:pPr>
      <w:r>
        <w:rPr>
          <w:rFonts w:ascii="Arial" w:hAnsi="Arial" w:hint="cs"/>
          <w:rtl/>
        </w:rPr>
        <w:t xml:space="preserve"> </w:t>
      </w:r>
      <w:r w:rsidRPr="002932AF">
        <w:rPr>
          <w:rFonts w:ascii="Arial" w:hAnsi="Arial" w:hint="cs"/>
          <w:rtl/>
        </w:rPr>
        <w:t>תקנה 44 לתקנות סדר הדין האזרחי, התשע"ט- 2018 קובעת כדלקמן:</w:t>
      </w:r>
    </w:p>
    <w:p w:rsidR="002932AF" w:rsidRPr="002932AF" w:rsidRDefault="002932AF" w:rsidP="002932AF">
      <w:pPr>
        <w:spacing w:after="160"/>
        <w:contextualSpacing/>
        <w:jc w:val="both"/>
        <w:rPr>
          <w:rFonts w:ascii="Arial" w:hAnsi="Arial"/>
          <w:b/>
          <w:bCs/>
        </w:rPr>
      </w:pPr>
      <w:r w:rsidRPr="002932AF">
        <w:rPr>
          <w:rFonts w:ascii="Arial" w:hAnsi="Arial"/>
          <w:rtl/>
        </w:rPr>
        <w:tab/>
      </w:r>
      <w:r w:rsidRPr="002932AF">
        <w:rPr>
          <w:rFonts w:ascii="Arial" w:hAnsi="Arial" w:hint="cs"/>
          <w:rtl/>
        </w:rPr>
        <w:t>"</w:t>
      </w:r>
      <w:r w:rsidRPr="002932AF">
        <w:rPr>
          <w:rFonts w:ascii="Arial" w:hAnsi="Arial"/>
          <w:b/>
          <w:bCs/>
          <w:rtl/>
        </w:rPr>
        <w:t>(א)</w:t>
      </w:r>
      <w:r w:rsidRPr="002932AF">
        <w:rPr>
          <w:rFonts w:ascii="Arial" w:hAnsi="Arial"/>
          <w:b/>
          <w:bCs/>
          <w:rtl/>
        </w:rPr>
        <w:tab/>
        <w:t>בית המשפט רשאי, לבקשת תובע, להפסיק תובענה, כולה או מקצתה.</w:t>
      </w:r>
    </w:p>
    <w:p w:rsidR="002932AF" w:rsidRPr="002932AF" w:rsidRDefault="002932AF" w:rsidP="002932AF">
      <w:pPr>
        <w:spacing w:after="160"/>
        <w:ind w:firstLine="720"/>
        <w:contextualSpacing/>
        <w:jc w:val="both"/>
        <w:rPr>
          <w:rFonts w:ascii="Arial" w:hAnsi="Arial"/>
          <w:b/>
          <w:bCs/>
        </w:rPr>
      </w:pPr>
      <w:r w:rsidRPr="002932AF">
        <w:rPr>
          <w:rFonts w:ascii="Arial" w:hAnsi="Arial" w:hint="cs"/>
          <w:b/>
          <w:bCs/>
          <w:rtl/>
        </w:rPr>
        <w:t xml:space="preserve">  </w:t>
      </w:r>
      <w:r w:rsidRPr="002932AF">
        <w:rPr>
          <w:rFonts w:ascii="Arial" w:hAnsi="Arial"/>
          <w:b/>
          <w:bCs/>
          <w:rtl/>
        </w:rPr>
        <w:t>(ב)</w:t>
      </w:r>
      <w:r w:rsidRPr="002932AF">
        <w:rPr>
          <w:rFonts w:ascii="Arial" w:hAnsi="Arial"/>
          <w:b/>
          <w:bCs/>
          <w:rtl/>
        </w:rPr>
        <w:tab/>
        <w:t>הפסקת תובענה תהיה על דרך של מחיקת כתב התביעה.</w:t>
      </w:r>
      <w:r w:rsidRPr="002932AF">
        <w:rPr>
          <w:rFonts w:ascii="Arial" w:hAnsi="Arial" w:hint="cs"/>
          <w:b/>
          <w:bCs/>
          <w:rtl/>
        </w:rPr>
        <w:t>"</w:t>
      </w:r>
    </w:p>
    <w:p w:rsidR="002932AF" w:rsidRPr="002932AF" w:rsidRDefault="002932AF" w:rsidP="002932AF">
      <w:pPr>
        <w:spacing w:after="160" w:line="360" w:lineRule="auto"/>
        <w:contextualSpacing/>
        <w:jc w:val="both"/>
        <w:rPr>
          <w:rFonts w:ascii="Arial" w:hAnsi="Arial"/>
          <w:rtl/>
        </w:rPr>
      </w:pPr>
    </w:p>
    <w:p w:rsidR="002932AF" w:rsidRPr="002932AF" w:rsidRDefault="002932AF" w:rsidP="002932AF">
      <w:pPr>
        <w:spacing w:after="160" w:line="360" w:lineRule="auto"/>
        <w:contextualSpacing/>
        <w:jc w:val="both"/>
        <w:rPr>
          <w:rFonts w:ascii="Arial" w:hAnsi="Arial"/>
          <w:rtl/>
        </w:rPr>
      </w:pPr>
    </w:p>
    <w:p w:rsidR="002932AF" w:rsidRDefault="002932AF" w:rsidP="002932AF">
      <w:pPr>
        <w:numPr>
          <w:ilvl w:val="0"/>
          <w:numId w:val="1"/>
        </w:numPr>
        <w:spacing w:after="160" w:line="360" w:lineRule="auto"/>
        <w:ind w:left="0" w:firstLine="0"/>
        <w:contextualSpacing/>
        <w:jc w:val="both"/>
        <w:rPr>
          <w:rFonts w:ascii="Arial" w:hAnsi="Arial"/>
          <w:b/>
          <w:bCs/>
        </w:rPr>
      </w:pPr>
      <w:r w:rsidRPr="002932AF">
        <w:rPr>
          <w:rFonts w:ascii="Arial" w:hAnsi="Arial" w:hint="cs"/>
          <w:rtl/>
        </w:rPr>
        <w:t xml:space="preserve">כאמור, על פי תקנה 44 לתקנות רשאי בית המשפט </w:t>
      </w:r>
      <w:r w:rsidRPr="002932AF">
        <w:rPr>
          <w:rFonts w:ascii="Arial" w:hAnsi="Arial"/>
          <w:rtl/>
        </w:rPr>
        <w:t>להפסיק תובענה שהוגשה על י</w:t>
      </w:r>
      <w:r w:rsidRPr="002932AF">
        <w:rPr>
          <w:rFonts w:ascii="Arial" w:hAnsi="Arial" w:hint="cs"/>
          <w:rtl/>
        </w:rPr>
        <w:t>די תובע</w:t>
      </w:r>
      <w:r w:rsidRPr="002932AF">
        <w:rPr>
          <w:rFonts w:ascii="Arial" w:hAnsi="Arial"/>
          <w:rtl/>
        </w:rPr>
        <w:t xml:space="preserve">, כולה או מקצתה, בדרך של מחיקת כתב התביעה. </w:t>
      </w:r>
      <w:r w:rsidRPr="002932AF">
        <w:rPr>
          <w:rFonts w:ascii="Arial" w:hAnsi="Arial" w:hint="cs"/>
          <w:rtl/>
        </w:rPr>
        <w:t xml:space="preserve">תקנה 41(ב) </w:t>
      </w:r>
      <w:r w:rsidRPr="002932AF">
        <w:rPr>
          <w:rFonts w:ascii="Arial" w:hAnsi="Arial"/>
          <w:rtl/>
        </w:rPr>
        <w:t xml:space="preserve">לתקנות </w:t>
      </w:r>
      <w:r w:rsidRPr="002932AF">
        <w:rPr>
          <w:rFonts w:ascii="Arial" w:hAnsi="Arial" w:hint="cs"/>
          <w:rtl/>
        </w:rPr>
        <w:t xml:space="preserve">קובעת כי  </w:t>
      </w:r>
      <w:r w:rsidRPr="002932AF">
        <w:rPr>
          <w:rFonts w:ascii="Arial" w:hAnsi="Arial" w:hint="cs"/>
          <w:b/>
          <w:bCs/>
          <w:rtl/>
        </w:rPr>
        <w:t>"</w:t>
      </w:r>
      <w:r w:rsidRPr="002932AF">
        <w:rPr>
          <w:rFonts w:ascii="Arial" w:hAnsi="Arial"/>
          <w:b/>
          <w:bCs/>
          <w:rtl/>
        </w:rPr>
        <w:t>מחיקת כתב תביעה לפי תקנות אלה אינה מהווה מעשה בית דין</w:t>
      </w:r>
      <w:r w:rsidRPr="002932AF">
        <w:rPr>
          <w:rFonts w:ascii="Arial" w:hAnsi="Arial" w:hint="cs"/>
          <w:b/>
          <w:bCs/>
          <w:rtl/>
        </w:rPr>
        <w:t>"</w:t>
      </w:r>
      <w:r w:rsidRPr="002932AF">
        <w:rPr>
          <w:rFonts w:ascii="Arial" w:hAnsi="Arial"/>
          <w:b/>
          <w:bCs/>
          <w:rtl/>
        </w:rPr>
        <w:t xml:space="preserve">. </w:t>
      </w:r>
      <w:bookmarkStart w:id="1" w:name="ABSTRACT_END"/>
      <w:bookmarkEnd w:id="1"/>
    </w:p>
    <w:p w:rsidR="002932AF" w:rsidRPr="002932AF" w:rsidRDefault="002932AF" w:rsidP="002932AF">
      <w:pPr>
        <w:spacing w:after="160" w:line="360" w:lineRule="auto"/>
        <w:contextualSpacing/>
        <w:jc w:val="both"/>
        <w:rPr>
          <w:rFonts w:ascii="Arial" w:hAnsi="Arial"/>
          <w:b/>
          <w:bCs/>
        </w:rPr>
      </w:pPr>
    </w:p>
    <w:p w:rsidR="002932AF" w:rsidRPr="002932AF" w:rsidRDefault="002932AF" w:rsidP="00ED1741">
      <w:pPr>
        <w:numPr>
          <w:ilvl w:val="0"/>
          <w:numId w:val="1"/>
        </w:numPr>
        <w:spacing w:after="160" w:line="360" w:lineRule="auto"/>
        <w:ind w:left="0" w:firstLine="0"/>
        <w:contextualSpacing/>
        <w:jc w:val="both"/>
        <w:rPr>
          <w:rFonts w:ascii="Arial" w:hAnsi="Arial"/>
        </w:rPr>
      </w:pPr>
      <w:r w:rsidRPr="002932AF">
        <w:rPr>
          <w:rFonts w:ascii="Arial" w:hAnsi="Arial" w:hint="cs"/>
          <w:rtl/>
        </w:rPr>
        <w:t xml:space="preserve">תקנה 41 ותקנה 44 לתקנות </w:t>
      </w:r>
      <w:r w:rsidRPr="002932AF">
        <w:rPr>
          <w:rFonts w:ascii="Arial" w:hAnsi="Arial"/>
          <w:rtl/>
        </w:rPr>
        <w:t>מחליפות את תקנות</w:t>
      </w:r>
      <w:r w:rsidRPr="002932AF">
        <w:rPr>
          <w:rFonts w:ascii="Arial" w:hAnsi="Arial" w:hint="cs"/>
          <w:rtl/>
        </w:rPr>
        <w:t xml:space="preserve"> 155-154 </w:t>
      </w:r>
      <w:r w:rsidRPr="002932AF">
        <w:rPr>
          <w:rFonts w:ascii="Arial" w:hAnsi="Arial"/>
          <w:rtl/>
        </w:rPr>
        <w:t xml:space="preserve">לתקנות סדר הדין האזרחי, </w:t>
      </w:r>
      <w:r w:rsidRPr="002932AF">
        <w:rPr>
          <w:rFonts w:ascii="Arial" w:hAnsi="Arial" w:hint="cs"/>
          <w:rtl/>
        </w:rPr>
        <w:t xml:space="preserve"> התשמ"ד -1984.</w:t>
      </w:r>
      <w:r>
        <w:rPr>
          <w:rFonts w:ascii="Arial" w:hAnsi="Arial" w:hint="cs"/>
          <w:rtl/>
        </w:rPr>
        <w:t xml:space="preserve"> </w:t>
      </w:r>
      <w:r w:rsidRPr="002932AF">
        <w:rPr>
          <w:rFonts w:ascii="Arial" w:hAnsi="Arial"/>
          <w:rtl/>
        </w:rPr>
        <w:t>על אף ההבדלים ביניהן, מדובר בהסדר דיוני המקנה לבית המשפט סמכויות דומות</w:t>
      </w:r>
      <w:r>
        <w:rPr>
          <w:rFonts w:ascii="Arial" w:hAnsi="Arial" w:hint="cs"/>
          <w:rtl/>
        </w:rPr>
        <w:t xml:space="preserve">. כבוד השופט י' שקד עומד על ארבעה הבדלים </w:t>
      </w:r>
      <w:r w:rsidR="001A456D">
        <w:rPr>
          <w:rFonts w:ascii="Arial" w:hAnsi="Arial" w:hint="cs"/>
          <w:rtl/>
        </w:rPr>
        <w:t xml:space="preserve">עיקריים </w:t>
      </w:r>
      <w:r>
        <w:rPr>
          <w:rFonts w:ascii="Arial" w:hAnsi="Arial" w:hint="cs"/>
          <w:rtl/>
        </w:rPr>
        <w:t xml:space="preserve">בין תקנה 44 לתקנות 155-154 </w:t>
      </w:r>
      <w:r w:rsidRPr="002932AF">
        <w:rPr>
          <w:rFonts w:ascii="Arial" w:hAnsi="Arial"/>
          <w:rtl/>
        </w:rPr>
        <w:t>(יעקב שקד</w:t>
      </w:r>
      <w:r>
        <w:rPr>
          <w:rFonts w:ascii="Arial" w:hAnsi="Arial" w:hint="cs"/>
          <w:rtl/>
        </w:rPr>
        <w:t xml:space="preserve"> סדר הדין האזרחי החדש,</w:t>
      </w:r>
      <w:r w:rsidRPr="002932AF">
        <w:rPr>
          <w:rFonts w:ascii="Arial" w:hAnsi="Arial"/>
          <w:rtl/>
        </w:rPr>
        <w:t xml:space="preserve"> </w:t>
      </w:r>
      <w:r w:rsidRPr="00576B23">
        <w:rPr>
          <w:rFonts w:ascii="Arial" w:hAnsi="Arial"/>
          <w:b/>
          <w:bCs/>
          <w:rtl/>
        </w:rPr>
        <w:t xml:space="preserve">מהדורה </w:t>
      </w:r>
      <w:r w:rsidRPr="00576B23">
        <w:rPr>
          <w:rFonts w:ascii="Arial" w:hAnsi="Arial" w:hint="cs"/>
          <w:b/>
          <w:bCs/>
          <w:rtl/>
        </w:rPr>
        <w:t>שלישית</w:t>
      </w:r>
      <w:r w:rsidRPr="00576B23">
        <w:rPr>
          <w:rFonts w:ascii="Arial" w:hAnsi="Arial"/>
          <w:b/>
          <w:bCs/>
          <w:rtl/>
        </w:rPr>
        <w:t xml:space="preserve"> מעודכנת</w:t>
      </w:r>
      <w:r w:rsidRPr="002932AF">
        <w:rPr>
          <w:rFonts w:ascii="Arial" w:hAnsi="Arial"/>
          <w:rtl/>
        </w:rPr>
        <w:t xml:space="preserve">, </w:t>
      </w:r>
      <w:r>
        <w:rPr>
          <w:rFonts w:ascii="Arial" w:hAnsi="Arial" w:hint="cs"/>
          <w:rtl/>
        </w:rPr>
        <w:t xml:space="preserve">310-304 </w:t>
      </w:r>
      <w:r w:rsidRPr="002932AF">
        <w:rPr>
          <w:rFonts w:ascii="Arial" w:hAnsi="Arial"/>
          <w:rtl/>
        </w:rPr>
        <w:t>(202</w:t>
      </w:r>
      <w:r>
        <w:rPr>
          <w:rFonts w:ascii="Arial" w:hAnsi="Arial" w:hint="cs"/>
          <w:rtl/>
        </w:rPr>
        <w:t>3</w:t>
      </w:r>
      <w:r w:rsidRPr="002932AF">
        <w:rPr>
          <w:rFonts w:ascii="Arial" w:hAnsi="Arial"/>
          <w:rtl/>
        </w:rPr>
        <w:t>)</w:t>
      </w:r>
      <w:r w:rsidR="001A456D">
        <w:rPr>
          <w:rFonts w:ascii="Arial" w:hAnsi="Arial" w:hint="cs"/>
          <w:rtl/>
        </w:rPr>
        <w:t xml:space="preserve"> (להלן </w:t>
      </w:r>
      <w:r w:rsidR="001A456D">
        <w:rPr>
          <w:rFonts w:ascii="Arial" w:hAnsi="Arial"/>
          <w:rtl/>
        </w:rPr>
        <w:t>–</w:t>
      </w:r>
      <w:r w:rsidR="001A456D">
        <w:rPr>
          <w:rFonts w:ascii="Arial" w:hAnsi="Arial" w:hint="cs"/>
          <w:rtl/>
        </w:rPr>
        <w:t xml:space="preserve"> "</w:t>
      </w:r>
      <w:r w:rsidR="001A456D" w:rsidRPr="00576B23">
        <w:rPr>
          <w:rFonts w:ascii="Arial" w:hAnsi="Arial" w:hint="cs"/>
          <w:b/>
          <w:bCs/>
          <w:rtl/>
        </w:rPr>
        <w:t>שקד</w:t>
      </w:r>
      <w:r w:rsidR="001A456D">
        <w:rPr>
          <w:rFonts w:ascii="Arial" w:hAnsi="Arial" w:hint="cs"/>
          <w:rtl/>
        </w:rPr>
        <w:t>"))</w:t>
      </w:r>
      <w:r w:rsidRPr="002932AF">
        <w:rPr>
          <w:rFonts w:ascii="Arial" w:hAnsi="Arial"/>
          <w:rtl/>
        </w:rPr>
        <w:t>;</w:t>
      </w:r>
      <w:r w:rsidR="001A456D">
        <w:rPr>
          <w:rFonts w:ascii="Arial" w:hAnsi="Arial" w:hint="cs"/>
          <w:rtl/>
        </w:rPr>
        <w:t xml:space="preserve"> ע"א 2230/01</w:t>
      </w:r>
      <w:r w:rsidRPr="002932AF">
        <w:rPr>
          <w:rFonts w:ascii="Arial" w:hAnsi="Arial"/>
          <w:rtl/>
        </w:rPr>
        <w:t xml:space="preserve"> </w:t>
      </w:r>
      <w:r w:rsidRPr="002932AF">
        <w:rPr>
          <w:rFonts w:ascii="Arial" w:hAnsi="Arial"/>
          <w:b/>
          <w:bCs/>
          <w:rtl/>
        </w:rPr>
        <w:t>אביזוהר נ' לוליאן</w:t>
      </w:r>
      <w:r w:rsidRPr="002932AF">
        <w:rPr>
          <w:rFonts w:ascii="Arial" w:hAnsi="Arial"/>
          <w:rtl/>
        </w:rPr>
        <w:t>, פס' 5 (30.5.2021) (להלן</w:t>
      </w:r>
      <w:r w:rsidR="001A456D">
        <w:rPr>
          <w:rFonts w:ascii="Arial" w:hAnsi="Arial" w:hint="cs"/>
          <w:rtl/>
        </w:rPr>
        <w:t>-</w:t>
      </w:r>
      <w:r w:rsidRPr="002932AF">
        <w:rPr>
          <w:rFonts w:ascii="Arial" w:hAnsi="Arial"/>
          <w:rtl/>
        </w:rPr>
        <w:t xml:space="preserve"> </w:t>
      </w:r>
      <w:r w:rsidR="001A456D">
        <w:rPr>
          <w:rFonts w:ascii="Arial" w:hAnsi="Arial" w:hint="cs"/>
          <w:rtl/>
        </w:rPr>
        <w:t>"</w:t>
      </w:r>
      <w:r w:rsidR="001A456D" w:rsidRPr="00576B23">
        <w:rPr>
          <w:rFonts w:ascii="Arial" w:hAnsi="Arial" w:hint="cs"/>
          <w:b/>
          <w:bCs/>
          <w:rtl/>
        </w:rPr>
        <w:t>פסק דין</w:t>
      </w:r>
      <w:r w:rsidRPr="00576B23">
        <w:rPr>
          <w:rFonts w:ascii="Arial" w:hAnsi="Arial"/>
          <w:b/>
          <w:bCs/>
          <w:rtl/>
        </w:rPr>
        <w:t xml:space="preserve"> אביזוהר</w:t>
      </w:r>
      <w:r w:rsidR="001A456D">
        <w:rPr>
          <w:rFonts w:ascii="Arial" w:hAnsi="Arial" w:hint="cs"/>
          <w:rtl/>
        </w:rPr>
        <w:t>"</w:t>
      </w:r>
      <w:r w:rsidRPr="002932AF">
        <w:rPr>
          <w:rFonts w:ascii="Arial" w:hAnsi="Arial"/>
          <w:rtl/>
        </w:rPr>
        <w:t>); וראו גם</w:t>
      </w:r>
      <w:r w:rsidR="001A456D">
        <w:rPr>
          <w:rFonts w:ascii="Arial" w:hAnsi="Arial" w:hint="cs"/>
          <w:rtl/>
        </w:rPr>
        <w:t xml:space="preserve"> ת"א (מחוזי ב"ש) 42437-06-18</w:t>
      </w:r>
      <w:r w:rsidRPr="002932AF">
        <w:rPr>
          <w:rFonts w:ascii="Arial" w:hAnsi="Arial"/>
          <w:rtl/>
        </w:rPr>
        <w:t xml:space="preserve"> </w:t>
      </w:r>
      <w:r w:rsidRPr="002932AF">
        <w:rPr>
          <w:rFonts w:ascii="Arial" w:hAnsi="Arial"/>
          <w:b/>
          <w:bCs/>
          <w:rtl/>
        </w:rPr>
        <w:t>בורבא נ' עין תמר כפר שיתופי</w:t>
      </w:r>
      <w:r w:rsidRPr="002932AF">
        <w:rPr>
          <w:rFonts w:ascii="Arial" w:hAnsi="Arial"/>
          <w:rtl/>
        </w:rPr>
        <w:t xml:space="preserve"> (6.5.2021)). </w:t>
      </w:r>
    </w:p>
    <w:p w:rsidR="002932AF" w:rsidRPr="002932AF" w:rsidRDefault="002932AF" w:rsidP="001A456D">
      <w:pPr>
        <w:spacing w:after="160" w:line="360" w:lineRule="auto"/>
        <w:contextualSpacing/>
        <w:jc w:val="both"/>
        <w:rPr>
          <w:rFonts w:ascii="Arial" w:hAnsi="Arial"/>
          <w:rtl/>
        </w:rPr>
      </w:pPr>
    </w:p>
    <w:p w:rsidR="00BD5833" w:rsidRPr="00BD5833" w:rsidRDefault="002932AF" w:rsidP="00BD5833">
      <w:pPr>
        <w:numPr>
          <w:ilvl w:val="0"/>
          <w:numId w:val="1"/>
        </w:numPr>
        <w:spacing w:after="160" w:line="360" w:lineRule="auto"/>
        <w:ind w:left="0" w:firstLine="0"/>
        <w:contextualSpacing/>
        <w:jc w:val="both"/>
        <w:rPr>
          <w:rFonts w:ascii="Arial" w:hAnsi="Arial"/>
          <w:b/>
          <w:bCs/>
        </w:rPr>
      </w:pPr>
      <w:r w:rsidRPr="002932AF">
        <w:rPr>
          <w:rFonts w:ascii="Arial" w:hAnsi="Arial" w:hint="cs"/>
          <w:rtl/>
        </w:rPr>
        <w:t xml:space="preserve">כבוד השופט י' עמית בע"א </w:t>
      </w:r>
      <w:r w:rsidR="001A456D">
        <w:rPr>
          <w:rFonts w:ascii="Arial" w:hAnsi="Arial" w:hint="cs"/>
          <w:rtl/>
        </w:rPr>
        <w:t xml:space="preserve"> </w:t>
      </w:r>
      <w:r w:rsidRPr="002932AF">
        <w:rPr>
          <w:rFonts w:ascii="Arial" w:hAnsi="Arial" w:hint="cs"/>
          <w:rtl/>
        </w:rPr>
        <w:t>3975/21</w:t>
      </w:r>
      <w:r w:rsidR="001A456D">
        <w:rPr>
          <w:rFonts w:ascii="Arial" w:hAnsi="Arial" w:hint="cs"/>
          <w:b/>
          <w:bCs/>
          <w:rtl/>
        </w:rPr>
        <w:t xml:space="preserve"> </w:t>
      </w:r>
      <w:r w:rsidRPr="002932AF">
        <w:rPr>
          <w:rFonts w:ascii="Arial" w:hAnsi="Arial"/>
          <w:b/>
          <w:bCs/>
          <w:rtl/>
        </w:rPr>
        <w:t>מדינת ישראל - משרד הבריאות נ' אי.סיג בע"מ</w:t>
      </w:r>
      <w:r w:rsidRPr="002932AF">
        <w:rPr>
          <w:rFonts w:ascii="Arial" w:hAnsi="Arial"/>
          <w:rtl/>
        </w:rPr>
        <w:t>, פס' 7 (20.3.2022)</w:t>
      </w:r>
      <w:r w:rsidRPr="002932AF">
        <w:rPr>
          <w:rFonts w:ascii="Arial" w:hAnsi="Arial" w:hint="cs"/>
          <w:rtl/>
        </w:rPr>
        <w:t xml:space="preserve"> (להלן- "</w:t>
      </w:r>
      <w:r w:rsidRPr="00576B23">
        <w:rPr>
          <w:rFonts w:ascii="Arial" w:hAnsi="Arial" w:hint="cs"/>
          <w:b/>
          <w:bCs/>
          <w:rtl/>
        </w:rPr>
        <w:t>פס</w:t>
      </w:r>
      <w:r w:rsidR="00576B23" w:rsidRPr="00576B23">
        <w:rPr>
          <w:rFonts w:ascii="Arial" w:hAnsi="Arial" w:hint="cs"/>
          <w:b/>
          <w:bCs/>
          <w:rtl/>
        </w:rPr>
        <w:t>ק דין</w:t>
      </w:r>
      <w:r w:rsidRPr="00576B23">
        <w:rPr>
          <w:rFonts w:ascii="Arial" w:hAnsi="Arial" w:hint="cs"/>
          <w:b/>
          <w:bCs/>
          <w:rtl/>
        </w:rPr>
        <w:t xml:space="preserve"> משרד הבריאות</w:t>
      </w:r>
      <w:r w:rsidRPr="002932AF">
        <w:rPr>
          <w:rFonts w:ascii="Arial" w:hAnsi="Arial" w:hint="cs"/>
          <w:rtl/>
        </w:rPr>
        <w:t xml:space="preserve">") עמד על השיקולים המנחים כאשר מוגשת לבית המשפט בקשה של התובע למחיקת התביעה: </w:t>
      </w:r>
    </w:p>
    <w:p w:rsidR="00BD5833" w:rsidRDefault="00BD5833" w:rsidP="00BD5833">
      <w:pPr>
        <w:pStyle w:val="ac"/>
        <w:rPr>
          <w:rFonts w:ascii="Arial" w:hAnsi="Arial"/>
          <w:rtl/>
        </w:rPr>
      </w:pPr>
    </w:p>
    <w:p w:rsidR="004216F2" w:rsidRDefault="002932AF" w:rsidP="00BD5833">
      <w:pPr>
        <w:spacing w:after="160" w:line="360" w:lineRule="auto"/>
        <w:ind w:firstLine="720"/>
        <w:contextualSpacing/>
        <w:jc w:val="both"/>
        <w:rPr>
          <w:rFonts w:ascii="Arial" w:hAnsi="Arial"/>
          <w:b/>
          <w:bCs/>
        </w:rPr>
      </w:pPr>
      <w:r w:rsidRPr="004216F2">
        <w:rPr>
          <w:rFonts w:ascii="Arial" w:hAnsi="Arial" w:hint="cs"/>
          <w:rtl/>
        </w:rPr>
        <w:t xml:space="preserve">א. </w:t>
      </w:r>
      <w:r w:rsidRPr="004216F2">
        <w:rPr>
          <w:rFonts w:ascii="Century" w:hAnsi="Century" w:cs="Miriam" w:hint="cs"/>
          <w:noProof w:val="0"/>
          <w:sz w:val="22"/>
          <w:rtl/>
        </w:rPr>
        <w:t>משאבי שיפוט</w:t>
      </w:r>
      <w:r w:rsidRPr="00ED1741">
        <w:rPr>
          <w:rFonts w:ascii="Arial" w:hAnsi="Arial" w:hint="cs"/>
          <w:b/>
          <w:bCs/>
          <w:rtl/>
        </w:rPr>
        <w:t xml:space="preserve">: </w:t>
      </w:r>
      <w:r w:rsidRPr="004216F2">
        <w:rPr>
          <w:rFonts w:ascii="Arial" w:hAnsi="Arial" w:hint="cs"/>
          <w:rtl/>
        </w:rPr>
        <w:t>בית המשפט</w:t>
      </w:r>
      <w:r w:rsidRPr="004216F2">
        <w:rPr>
          <w:rFonts w:ascii="Arial" w:hAnsi="Arial"/>
          <w:rtl/>
        </w:rPr>
        <w:t xml:space="preserve"> יאזן, לפי הצורך, בין האינטרס של בעלי הדין ובין האינטרס הציבורי</w:t>
      </w:r>
      <w:r w:rsidRPr="004216F2">
        <w:rPr>
          <w:rFonts w:ascii="Arial" w:hAnsi="Arial" w:hint="cs"/>
          <w:rtl/>
        </w:rPr>
        <w:t>. ומטבע הדברים, ככל שההליך התקדם במעלה המסלול הדיוני, אבדן משאבי השיפוט גדול יותר. כאשר תקנה 5 לתקנות שמה בקדמת הבימה את</w:t>
      </w:r>
      <w:r w:rsidRPr="00ED1741">
        <w:rPr>
          <w:rFonts w:ascii="Arial" w:hAnsi="Arial" w:hint="cs"/>
          <w:b/>
          <w:bCs/>
          <w:rtl/>
        </w:rPr>
        <w:t xml:space="preserve"> האינטרס הציבורי- </w:t>
      </w:r>
    </w:p>
    <w:p w:rsidR="002932AF" w:rsidRDefault="004216F2" w:rsidP="004216F2">
      <w:pPr>
        <w:spacing w:after="160"/>
        <w:ind w:left="992" w:right="1134"/>
        <w:contextualSpacing/>
        <w:jc w:val="both"/>
        <w:rPr>
          <w:rFonts w:ascii="Arial" w:hAnsi="Arial"/>
          <w:b/>
          <w:bCs/>
          <w:rtl/>
        </w:rPr>
      </w:pPr>
      <w:r>
        <w:rPr>
          <w:rFonts w:ascii="Arial" w:hAnsi="Arial" w:hint="cs"/>
          <w:b/>
          <w:bCs/>
          <w:rtl/>
        </w:rPr>
        <w:t>"</w:t>
      </w:r>
      <w:r w:rsidR="002932AF" w:rsidRPr="00ED1741">
        <w:rPr>
          <w:rFonts w:ascii="Arial" w:hAnsi="Arial"/>
          <w:b/>
          <w:bCs/>
          <w:rtl/>
        </w:rPr>
        <w:t>אינטרס ציבורי</w:t>
      </w:r>
      <w:r w:rsidR="002932AF" w:rsidRPr="00ED1741">
        <w:rPr>
          <w:rFonts w:ascii="Arial" w:hAnsi="Arial" w:hint="cs"/>
          <w:b/>
          <w:bCs/>
          <w:rtl/>
        </w:rPr>
        <w:t>'</w:t>
      </w:r>
      <w:r w:rsidR="002932AF" w:rsidRPr="00ED1741">
        <w:rPr>
          <w:rFonts w:ascii="Arial" w:hAnsi="Arial"/>
          <w:b/>
          <w:bCs/>
          <w:rtl/>
        </w:rPr>
        <w:t xml:space="preserve"> – נגישות הציבור למערכת בתי המשפט לרבות קיומו של דיון משפטי צודק, מהיר ויעיל, חיסכון במשאבי זמן ועלויות, מניעת הכרעות סותרות ומניעת שימוש לרעה בהליך השיפוטי</w:t>
      </w:r>
      <w:r w:rsidR="002932AF" w:rsidRPr="00ED1741">
        <w:rPr>
          <w:rFonts w:ascii="Arial" w:hAnsi="Arial" w:hint="cs"/>
          <w:b/>
          <w:bCs/>
          <w:rtl/>
        </w:rPr>
        <w:t>"</w:t>
      </w:r>
      <w:r w:rsidR="002932AF" w:rsidRPr="00ED1741">
        <w:rPr>
          <w:rFonts w:ascii="Arial" w:hAnsi="Arial"/>
          <w:b/>
          <w:bCs/>
          <w:rtl/>
        </w:rPr>
        <w:t>.</w:t>
      </w:r>
      <w:r w:rsidR="002932AF" w:rsidRPr="00ED1741">
        <w:rPr>
          <w:rFonts w:ascii="Arial" w:hAnsi="Arial" w:hint="cs"/>
          <w:b/>
          <w:bCs/>
          <w:rtl/>
        </w:rPr>
        <w:t xml:space="preserve"> </w:t>
      </w:r>
    </w:p>
    <w:p w:rsidR="002932AF" w:rsidRDefault="002932AF" w:rsidP="00BD5833">
      <w:pPr>
        <w:spacing w:after="160" w:line="360" w:lineRule="auto"/>
        <w:ind w:firstLine="720"/>
        <w:contextualSpacing/>
        <w:jc w:val="both"/>
        <w:rPr>
          <w:rFonts w:ascii="Arial" w:hAnsi="Arial"/>
        </w:rPr>
      </w:pPr>
      <w:r w:rsidRPr="001A456D">
        <w:rPr>
          <w:rFonts w:ascii="Century" w:hAnsi="Century" w:cs="Miriam" w:hint="cs"/>
          <w:b/>
          <w:noProof w:val="0"/>
          <w:sz w:val="22"/>
          <w:rtl/>
        </w:rPr>
        <w:lastRenderedPageBreak/>
        <w:t xml:space="preserve">ב. </w:t>
      </w:r>
      <w:r w:rsidRPr="001A456D">
        <w:rPr>
          <w:rFonts w:ascii="Century" w:hAnsi="Century" w:cs="Miriam"/>
          <w:b/>
          <w:noProof w:val="0"/>
          <w:sz w:val="22"/>
          <w:rtl/>
        </w:rPr>
        <w:t>החשש מפני שימוש לרעה בהליך השיפוטי</w:t>
      </w:r>
      <w:r w:rsidRPr="002932AF">
        <w:rPr>
          <w:rFonts w:ascii="Arial" w:hAnsi="Arial" w:hint="cs"/>
          <w:rtl/>
        </w:rPr>
        <w:t>: שימוש בכלי של מחיקת התובענה כדי להגיע למותב אחר (</w:t>
      </w:r>
      <w:r w:rsidRPr="002932AF">
        <w:rPr>
          <w:rFonts w:ascii="Arial" w:hAnsi="Arial"/>
        </w:rPr>
        <w:t>"judge shopping"</w:t>
      </w:r>
      <w:r w:rsidRPr="002932AF">
        <w:rPr>
          <w:rFonts w:ascii="Arial" w:hAnsi="Arial" w:hint="cs"/>
          <w:rtl/>
        </w:rPr>
        <w:t>); מחיקת תובענה בכדי לבצע בתובענה החדשה "מקצה שיפורים", אם במישור הראייתי ואם במישור אחר, כמו הוספת עילות תביעה לאחר שבקשתו לתיקון כתב התביעה נדחתה. הדברים נכונים ביתר שאת, במקרים שבהם בירור התיק התקדם והנתבע רכש יתרון דיוני (ע"א 302/83</w:t>
      </w:r>
      <w:r w:rsidRPr="002932AF">
        <w:rPr>
          <w:rFonts w:ascii="Arial" w:hAnsi="Arial"/>
          <w:rtl/>
        </w:rPr>
        <w:t xml:space="preserve"> </w:t>
      </w:r>
      <w:r w:rsidRPr="002932AF">
        <w:rPr>
          <w:rFonts w:ascii="Arial" w:hAnsi="Arial"/>
          <w:b/>
          <w:bCs/>
          <w:rtl/>
        </w:rPr>
        <w:t xml:space="preserve">חשולי הכרמל בע"מ נ' נסחלהטשווילי' </w:t>
      </w:r>
      <w:r w:rsidRPr="002932AF">
        <w:rPr>
          <w:rFonts w:ascii="Arial" w:hAnsi="Arial"/>
          <w:rtl/>
        </w:rPr>
        <w:t>פ"ד לט(2) 831, 835).</w:t>
      </w:r>
      <w:r w:rsidRPr="002932AF">
        <w:rPr>
          <w:rFonts w:ascii="Arial" w:hAnsi="Arial" w:hint="cs"/>
          <w:rtl/>
        </w:rPr>
        <w:t xml:space="preserve"> רע"א 4070/14</w:t>
      </w:r>
      <w:r w:rsidRPr="002932AF">
        <w:rPr>
          <w:rFonts w:ascii="Arial" w:hAnsi="Arial"/>
          <w:rtl/>
        </w:rPr>
        <w:t xml:space="preserve"> </w:t>
      </w:r>
      <w:r w:rsidRPr="002932AF">
        <w:rPr>
          <w:rFonts w:ascii="Arial" w:hAnsi="Arial"/>
          <w:b/>
          <w:bCs/>
          <w:rtl/>
        </w:rPr>
        <w:t>עזבון אבו ליל נ' עזבון אלפהום</w:t>
      </w:r>
      <w:r w:rsidRPr="002932AF">
        <w:rPr>
          <w:rFonts w:ascii="Arial" w:hAnsi="Arial"/>
          <w:rtl/>
        </w:rPr>
        <w:t>, פס' 10 (14.1.2016))</w:t>
      </w:r>
      <w:r w:rsidR="001A456D">
        <w:rPr>
          <w:rFonts w:ascii="Arial" w:hAnsi="Arial" w:hint="cs"/>
          <w:rtl/>
        </w:rPr>
        <w:t>"</w:t>
      </w:r>
      <w:r w:rsidRPr="002932AF">
        <w:rPr>
          <w:rFonts w:ascii="Arial" w:hAnsi="Arial"/>
          <w:rtl/>
        </w:rPr>
        <w:t xml:space="preserve">. </w:t>
      </w:r>
      <w:r w:rsidRPr="002932AF">
        <w:rPr>
          <w:rFonts w:ascii="Arial" w:hAnsi="Arial" w:hint="cs"/>
          <w:rtl/>
        </w:rPr>
        <w:t>בשים לב, כי ניתן להגיע ל</w:t>
      </w:r>
      <w:r w:rsidRPr="002932AF">
        <w:rPr>
          <w:rFonts w:ascii="Arial" w:hAnsi="Arial"/>
          <w:rtl/>
        </w:rPr>
        <w:t xml:space="preserve">איזון הדרוש על ידי הטלת הוצאות לטובת הנתבע, </w:t>
      </w:r>
      <w:r w:rsidRPr="002932AF">
        <w:rPr>
          <w:rFonts w:ascii="Arial" w:hAnsi="Arial" w:hint="cs"/>
          <w:rtl/>
        </w:rPr>
        <w:t>והכל כפוף כמובן לנסיבות הפרושות באותה העת לפני בית המשפט</w:t>
      </w:r>
      <w:r w:rsidR="00BD5833">
        <w:rPr>
          <w:rFonts w:ascii="Arial" w:hAnsi="Arial" w:hint="cs"/>
          <w:rtl/>
        </w:rPr>
        <w:t xml:space="preserve"> (ראו- שקד עמ' 310).</w:t>
      </w:r>
      <w:r w:rsidRPr="002932AF">
        <w:rPr>
          <w:rFonts w:ascii="Arial" w:hAnsi="Arial"/>
          <w:rtl/>
        </w:rPr>
        <w:t xml:space="preserve"> </w:t>
      </w:r>
    </w:p>
    <w:p w:rsidR="001A456D" w:rsidRDefault="001A456D" w:rsidP="001A456D">
      <w:pPr>
        <w:pStyle w:val="ac"/>
        <w:rPr>
          <w:rFonts w:ascii="Arial" w:hAnsi="Arial"/>
          <w:rtl/>
        </w:rPr>
      </w:pPr>
    </w:p>
    <w:p w:rsidR="004216F2" w:rsidRDefault="00576B23" w:rsidP="00576B23">
      <w:pPr>
        <w:numPr>
          <w:ilvl w:val="0"/>
          <w:numId w:val="1"/>
        </w:numPr>
        <w:spacing w:after="160" w:line="360" w:lineRule="auto"/>
        <w:ind w:left="0" w:firstLine="0"/>
        <w:contextualSpacing/>
        <w:jc w:val="both"/>
        <w:rPr>
          <w:rFonts w:ascii="Arial" w:hAnsi="Arial"/>
        </w:rPr>
      </w:pPr>
      <w:r>
        <w:rPr>
          <w:rFonts w:ascii="Arial" w:hAnsi="Arial" w:hint="cs"/>
          <w:rtl/>
        </w:rPr>
        <w:t xml:space="preserve">כבוד </w:t>
      </w:r>
      <w:r w:rsidR="002932AF" w:rsidRPr="002932AF">
        <w:rPr>
          <w:rFonts w:ascii="Arial" w:hAnsi="Arial" w:hint="cs"/>
          <w:rtl/>
        </w:rPr>
        <w:t>השופט י' עמית בהמשך פס</w:t>
      </w:r>
      <w:r>
        <w:rPr>
          <w:rFonts w:ascii="Arial" w:hAnsi="Arial" w:hint="cs"/>
          <w:rtl/>
        </w:rPr>
        <w:t>ק דין</w:t>
      </w:r>
      <w:r w:rsidR="002932AF" w:rsidRPr="002932AF">
        <w:rPr>
          <w:rFonts w:ascii="Arial" w:hAnsi="Arial" w:hint="cs"/>
          <w:rtl/>
        </w:rPr>
        <w:t xml:space="preserve"> משרד הבריאות</w:t>
      </w:r>
      <w:r w:rsidR="004216F2">
        <w:rPr>
          <w:rFonts w:ascii="Arial" w:hAnsi="Arial" w:hint="cs"/>
          <w:rtl/>
        </w:rPr>
        <w:t xml:space="preserve"> </w:t>
      </w:r>
      <w:r w:rsidR="001A456D">
        <w:rPr>
          <w:rFonts w:ascii="Arial" w:hAnsi="Arial" w:hint="cs"/>
          <w:rtl/>
        </w:rPr>
        <w:t xml:space="preserve">מפנה </w:t>
      </w:r>
      <w:r w:rsidR="002932AF" w:rsidRPr="002932AF">
        <w:rPr>
          <w:rFonts w:ascii="Arial" w:hAnsi="Arial" w:hint="cs"/>
          <w:rtl/>
        </w:rPr>
        <w:t>לפס</w:t>
      </w:r>
      <w:r>
        <w:rPr>
          <w:rFonts w:ascii="Arial" w:hAnsi="Arial" w:hint="cs"/>
          <w:rtl/>
        </w:rPr>
        <w:t>ק דין</w:t>
      </w:r>
      <w:r w:rsidR="002932AF" w:rsidRPr="002932AF">
        <w:rPr>
          <w:rFonts w:ascii="Arial" w:hAnsi="Arial" w:hint="cs"/>
          <w:rtl/>
        </w:rPr>
        <w:t xml:space="preserve"> אביזוהר</w:t>
      </w:r>
      <w:r w:rsidR="004216F2">
        <w:rPr>
          <w:rFonts w:ascii="Arial" w:hAnsi="Arial" w:hint="cs"/>
          <w:rtl/>
        </w:rPr>
        <w:t>:</w:t>
      </w:r>
    </w:p>
    <w:p w:rsidR="002932AF" w:rsidRPr="002932AF" w:rsidRDefault="002932AF" w:rsidP="004216F2">
      <w:pPr>
        <w:spacing w:after="160"/>
        <w:ind w:left="1134" w:right="1134"/>
        <w:contextualSpacing/>
        <w:jc w:val="both"/>
        <w:rPr>
          <w:rFonts w:ascii="Arial" w:hAnsi="Arial"/>
        </w:rPr>
      </w:pPr>
      <w:r w:rsidRPr="002932AF">
        <w:rPr>
          <w:rFonts w:ascii="Arial" w:hAnsi="Arial"/>
          <w:b/>
          <w:bCs/>
          <w:rtl/>
        </w:rPr>
        <w:t>"השאלה המרכזית שתיבחן בעת דיון בבקשת תובע להפסקת תביעתו היא באיזו מידה מהווה הבקשה שימוש לרעה בהליכי משפט ועד כמה תפגע הפסקת ניהול התובענה בנתבע [...] כי בית המשפט ייתן משקל לשלב הדיוני שבו נמצא ההליך ולאינטרס הציבורי של מניעת השחתת זמן שיפוטי לריק</w:t>
      </w:r>
      <w:r w:rsidR="001A456D">
        <w:rPr>
          <w:rFonts w:ascii="Arial" w:hAnsi="Arial" w:hint="cs"/>
          <w:b/>
          <w:bCs/>
          <w:rtl/>
        </w:rPr>
        <w:t>".</w:t>
      </w:r>
    </w:p>
    <w:p w:rsidR="00944683" w:rsidRPr="00944683" w:rsidRDefault="00944683" w:rsidP="00AB4D2D">
      <w:pPr>
        <w:spacing w:after="160" w:line="360" w:lineRule="auto"/>
        <w:contextualSpacing/>
        <w:jc w:val="both"/>
        <w:rPr>
          <w:rFonts w:ascii="Arial" w:hAnsi="Arial"/>
        </w:rPr>
      </w:pPr>
    </w:p>
    <w:p w:rsidR="008736F7" w:rsidRPr="00AA1BE6" w:rsidRDefault="00AA1BE6" w:rsidP="00BD5833">
      <w:pPr>
        <w:numPr>
          <w:ilvl w:val="0"/>
          <w:numId w:val="1"/>
        </w:numPr>
        <w:spacing w:after="160" w:line="360" w:lineRule="auto"/>
        <w:ind w:left="0" w:firstLine="0"/>
        <w:contextualSpacing/>
        <w:jc w:val="both"/>
        <w:rPr>
          <w:rFonts w:ascii="Arial" w:hAnsi="Arial"/>
        </w:rPr>
      </w:pPr>
      <w:r>
        <w:rPr>
          <w:rFonts w:ascii="Arial" w:hAnsi="Arial" w:hint="cs"/>
          <w:rtl/>
        </w:rPr>
        <w:t xml:space="preserve">ביום 29.1.2018 נפתח </w:t>
      </w:r>
      <w:r w:rsidR="00944683" w:rsidRPr="00AA1BE6">
        <w:rPr>
          <w:rFonts w:ascii="Arial" w:hAnsi="Arial" w:hint="cs"/>
          <w:rtl/>
        </w:rPr>
        <w:t>ההליך בהגשת כתב תביעה</w:t>
      </w:r>
      <w:r>
        <w:rPr>
          <w:rFonts w:ascii="Arial" w:hAnsi="Arial" w:hint="cs"/>
          <w:rtl/>
        </w:rPr>
        <w:t>. ביום 27.2.2018</w:t>
      </w:r>
      <w:r w:rsidR="00944683" w:rsidRPr="00AA1BE6">
        <w:rPr>
          <w:rFonts w:ascii="Arial" w:hAnsi="Arial" w:hint="cs"/>
          <w:rtl/>
        </w:rPr>
        <w:t xml:space="preserve"> </w:t>
      </w:r>
      <w:r w:rsidR="00BD48E3" w:rsidRPr="00AA1BE6">
        <w:rPr>
          <w:rFonts w:ascii="Arial" w:hAnsi="Arial" w:hint="cs"/>
          <w:rtl/>
        </w:rPr>
        <w:t>הוגשה</w:t>
      </w:r>
      <w:r w:rsidR="00944683" w:rsidRPr="00AA1BE6">
        <w:rPr>
          <w:rFonts w:ascii="Arial" w:hAnsi="Arial" w:hint="cs"/>
          <w:rtl/>
        </w:rPr>
        <w:t xml:space="preserve"> בקשה למזונות זמניים</w:t>
      </w:r>
      <w:r>
        <w:rPr>
          <w:rFonts w:ascii="Arial" w:hAnsi="Arial" w:hint="cs"/>
          <w:rtl/>
        </w:rPr>
        <w:t>.</w:t>
      </w:r>
      <w:r w:rsidR="00944683" w:rsidRPr="00AA1BE6">
        <w:rPr>
          <w:rFonts w:ascii="Arial" w:hAnsi="Arial" w:hint="cs"/>
          <w:rtl/>
        </w:rPr>
        <w:t xml:space="preserve"> תיק המזונות, כפי שניתן להיווכח מעיון במערכת נט המשפט, מע</w:t>
      </w:r>
      <w:r w:rsidR="008736F7" w:rsidRPr="00AA1BE6">
        <w:rPr>
          <w:rFonts w:ascii="Arial" w:hAnsi="Arial" w:hint="cs"/>
          <w:rtl/>
        </w:rPr>
        <w:t>יד ריבוי בקשות וההליכים</w:t>
      </w:r>
      <w:r w:rsidR="001A456D">
        <w:rPr>
          <w:rFonts w:ascii="Arial" w:hAnsi="Arial" w:hint="cs"/>
          <w:rtl/>
        </w:rPr>
        <w:t xml:space="preserve"> שהוגשו בתיק זה</w:t>
      </w:r>
      <w:r w:rsidR="00BD5833">
        <w:rPr>
          <w:rFonts w:ascii="Arial" w:hAnsi="Arial" w:hint="cs"/>
          <w:rtl/>
        </w:rPr>
        <w:t>.</w:t>
      </w:r>
      <w:r w:rsidR="001A456D">
        <w:rPr>
          <w:rFonts w:ascii="Arial" w:hAnsi="Arial" w:hint="cs"/>
          <w:rtl/>
        </w:rPr>
        <w:t xml:space="preserve"> </w:t>
      </w:r>
      <w:r w:rsidR="005C341E" w:rsidRPr="00AA1BE6">
        <w:rPr>
          <w:rFonts w:ascii="Arial" w:hAnsi="Arial" w:hint="cs"/>
          <w:rtl/>
        </w:rPr>
        <w:t>לא פחות מ-</w:t>
      </w:r>
      <w:r w:rsidR="008736F7" w:rsidRPr="00AA1BE6">
        <w:rPr>
          <w:rFonts w:ascii="Arial" w:hAnsi="Arial" w:hint="cs"/>
          <w:rtl/>
        </w:rPr>
        <w:t xml:space="preserve"> 128 בקשות</w:t>
      </w:r>
      <w:r w:rsidR="001A456D">
        <w:rPr>
          <w:rFonts w:ascii="Arial" w:hAnsi="Arial" w:hint="cs"/>
          <w:rtl/>
        </w:rPr>
        <w:t>,</w:t>
      </w:r>
      <w:r w:rsidR="00944683" w:rsidRPr="00AA1BE6">
        <w:rPr>
          <w:rFonts w:ascii="Arial" w:hAnsi="Arial" w:hint="cs"/>
          <w:rtl/>
        </w:rPr>
        <w:t xml:space="preserve"> לרבות גילוי מסמכים ומינוי מומח</w:t>
      </w:r>
      <w:r w:rsidR="00DB5ABC" w:rsidRPr="00AA1BE6">
        <w:rPr>
          <w:rFonts w:ascii="Arial" w:hAnsi="Arial" w:hint="cs"/>
          <w:rtl/>
        </w:rPr>
        <w:t>ים (שמאי ורואה חשבון)</w:t>
      </w:r>
      <w:r w:rsidR="00ED1741">
        <w:rPr>
          <w:rFonts w:ascii="Arial" w:hAnsi="Arial" w:hint="cs"/>
          <w:rtl/>
        </w:rPr>
        <w:t>,</w:t>
      </w:r>
      <w:r w:rsidRPr="00AA1BE6">
        <w:rPr>
          <w:rFonts w:ascii="Arial" w:hAnsi="Arial" w:hint="cs"/>
          <w:rtl/>
        </w:rPr>
        <w:t xml:space="preserve"> </w:t>
      </w:r>
      <w:r w:rsidR="008736F7" w:rsidRPr="00AA1BE6">
        <w:rPr>
          <w:rFonts w:ascii="Arial" w:hAnsi="Arial" w:hint="cs"/>
          <w:rtl/>
        </w:rPr>
        <w:t>ת</w:t>
      </w:r>
      <w:r w:rsidR="0060382A" w:rsidRPr="00AA1BE6">
        <w:rPr>
          <w:rFonts w:ascii="Arial" w:hAnsi="Arial" w:hint="cs"/>
          <w:rtl/>
        </w:rPr>
        <w:t xml:space="preserve">צהירי עדות ראשית, </w:t>
      </w:r>
      <w:r w:rsidR="00BD5833">
        <w:rPr>
          <w:rFonts w:ascii="Arial" w:hAnsi="Arial" w:hint="cs"/>
          <w:rtl/>
        </w:rPr>
        <w:t>ונשמעו חמישה ימי הוכחות, בכלל ההליכים שבין הצדדים</w:t>
      </w:r>
      <w:r w:rsidR="001A456D">
        <w:rPr>
          <w:rFonts w:ascii="Arial" w:hAnsi="Arial" w:hint="cs"/>
          <w:rtl/>
        </w:rPr>
        <w:t>:</w:t>
      </w:r>
    </w:p>
    <w:p w:rsidR="008736F7" w:rsidRDefault="008736F7" w:rsidP="00AB4D2D">
      <w:pPr>
        <w:pStyle w:val="ac"/>
        <w:ind w:left="0"/>
        <w:rPr>
          <w:rFonts w:ascii="Arial" w:hAnsi="Arial"/>
          <w:rtl/>
        </w:rPr>
      </w:pPr>
    </w:p>
    <w:p w:rsidR="00F712B4" w:rsidRDefault="00AA1BE6" w:rsidP="001A456D">
      <w:pPr>
        <w:spacing w:after="160" w:line="360" w:lineRule="auto"/>
        <w:ind w:left="720"/>
        <w:contextualSpacing/>
        <w:jc w:val="both"/>
        <w:rPr>
          <w:rFonts w:ascii="Arial" w:hAnsi="Arial"/>
        </w:rPr>
      </w:pPr>
      <w:r w:rsidRPr="00AA1BE6">
        <w:rPr>
          <w:rFonts w:ascii="Arial" w:hAnsi="Arial" w:hint="cs"/>
          <w:rtl/>
        </w:rPr>
        <w:t xml:space="preserve">ביום 29.7.2020 </w:t>
      </w:r>
      <w:r>
        <w:rPr>
          <w:rFonts w:ascii="Arial" w:hAnsi="Arial" w:hint="cs"/>
          <w:rtl/>
        </w:rPr>
        <w:t xml:space="preserve">התקיים </w:t>
      </w:r>
      <w:r w:rsidR="008736F7">
        <w:rPr>
          <w:rFonts w:ascii="Arial" w:hAnsi="Arial" w:hint="cs"/>
          <w:rtl/>
        </w:rPr>
        <w:t xml:space="preserve">דיון ההוכחות </w:t>
      </w:r>
      <w:r w:rsidR="0060382A">
        <w:rPr>
          <w:rFonts w:ascii="Arial" w:hAnsi="Arial" w:hint="cs"/>
          <w:rtl/>
        </w:rPr>
        <w:t>הראשון</w:t>
      </w:r>
      <w:r w:rsidR="00BD5833">
        <w:rPr>
          <w:rFonts w:ascii="Arial" w:hAnsi="Arial" w:hint="cs"/>
          <w:rtl/>
        </w:rPr>
        <w:t>,</w:t>
      </w:r>
      <w:r w:rsidR="0060382A">
        <w:rPr>
          <w:rFonts w:ascii="Arial" w:hAnsi="Arial" w:hint="cs"/>
          <w:rtl/>
        </w:rPr>
        <w:t xml:space="preserve"> </w:t>
      </w:r>
      <w:r>
        <w:rPr>
          <w:rFonts w:ascii="Arial" w:hAnsi="Arial" w:hint="cs"/>
          <w:rtl/>
        </w:rPr>
        <w:t>שבו</w:t>
      </w:r>
      <w:r w:rsidR="0060382A">
        <w:rPr>
          <w:rFonts w:ascii="Arial" w:hAnsi="Arial" w:hint="cs"/>
          <w:rtl/>
        </w:rPr>
        <w:t xml:space="preserve"> נחקר </w:t>
      </w:r>
      <w:r w:rsidR="001A456D">
        <w:rPr>
          <w:rFonts w:ascii="Arial" w:hAnsi="Arial" w:hint="cs"/>
          <w:rtl/>
        </w:rPr>
        <w:t xml:space="preserve">רואה החשבון </w:t>
      </w:r>
      <w:r w:rsidR="0060382A">
        <w:rPr>
          <w:rFonts w:ascii="Arial" w:hAnsi="Arial" w:hint="cs"/>
          <w:rtl/>
        </w:rPr>
        <w:t>מטעם בית המשפט, (להלן</w:t>
      </w:r>
      <w:r w:rsidR="001A456D">
        <w:rPr>
          <w:rFonts w:ascii="Arial" w:hAnsi="Arial" w:hint="cs"/>
          <w:rtl/>
        </w:rPr>
        <w:t xml:space="preserve"> -</w:t>
      </w:r>
      <w:r w:rsidR="0060382A">
        <w:rPr>
          <w:rFonts w:ascii="Arial" w:hAnsi="Arial" w:hint="cs"/>
          <w:rtl/>
        </w:rPr>
        <w:t xml:space="preserve"> "</w:t>
      </w:r>
      <w:r w:rsidR="0060382A" w:rsidRPr="00576B23">
        <w:rPr>
          <w:rFonts w:ascii="Arial" w:hAnsi="Arial" w:hint="cs"/>
          <w:b/>
          <w:bCs/>
          <w:rtl/>
        </w:rPr>
        <w:t>המומחה</w:t>
      </w:r>
      <w:r w:rsidR="0060382A">
        <w:rPr>
          <w:rFonts w:ascii="Arial" w:hAnsi="Arial" w:hint="cs"/>
          <w:rtl/>
        </w:rPr>
        <w:t xml:space="preserve">"). </w:t>
      </w:r>
    </w:p>
    <w:p w:rsidR="00F712B4" w:rsidRDefault="00F712B4" w:rsidP="00F712B4">
      <w:pPr>
        <w:pStyle w:val="ac"/>
        <w:rPr>
          <w:rFonts w:ascii="Arial" w:hAnsi="Arial"/>
          <w:rtl/>
        </w:rPr>
      </w:pPr>
    </w:p>
    <w:p w:rsidR="00F712B4" w:rsidRDefault="00F712B4" w:rsidP="00F712B4">
      <w:pPr>
        <w:spacing w:after="160" w:line="360" w:lineRule="auto"/>
        <w:ind w:firstLine="720"/>
        <w:contextualSpacing/>
        <w:jc w:val="both"/>
        <w:rPr>
          <w:rFonts w:ascii="Arial" w:hAnsi="Arial"/>
          <w:rtl/>
        </w:rPr>
      </w:pPr>
      <w:r w:rsidRPr="00F712B4">
        <w:rPr>
          <w:rFonts w:ascii="Arial" w:hAnsi="Arial" w:hint="cs"/>
          <w:rtl/>
        </w:rPr>
        <w:t>ביום 3.8.2020</w:t>
      </w:r>
      <w:r>
        <w:rPr>
          <w:rFonts w:ascii="Arial" w:hAnsi="Arial" w:hint="cs"/>
          <w:rtl/>
        </w:rPr>
        <w:t xml:space="preserve"> התקיים </w:t>
      </w:r>
      <w:r w:rsidR="0060382A">
        <w:rPr>
          <w:rFonts w:ascii="Arial" w:hAnsi="Arial" w:hint="cs"/>
          <w:rtl/>
        </w:rPr>
        <w:t>דיון ההוכחות השני שבו נחקר בשנית המומחה.</w:t>
      </w:r>
      <w:r w:rsidR="006A2AB0">
        <w:rPr>
          <w:rFonts w:ascii="Arial" w:hAnsi="Arial" w:hint="cs"/>
          <w:rtl/>
        </w:rPr>
        <w:t xml:space="preserve"> </w:t>
      </w:r>
    </w:p>
    <w:p w:rsidR="00F712B4" w:rsidRDefault="00F712B4" w:rsidP="00F712B4">
      <w:pPr>
        <w:spacing w:after="160" w:line="360" w:lineRule="auto"/>
        <w:ind w:firstLine="720"/>
        <w:contextualSpacing/>
        <w:jc w:val="both"/>
        <w:rPr>
          <w:rFonts w:ascii="Arial" w:hAnsi="Arial"/>
          <w:rtl/>
        </w:rPr>
      </w:pPr>
    </w:p>
    <w:p w:rsidR="008736F7" w:rsidRDefault="00F712B4" w:rsidP="00F712B4">
      <w:pPr>
        <w:spacing w:after="160" w:line="360" w:lineRule="auto"/>
        <w:ind w:firstLine="720"/>
        <w:contextualSpacing/>
        <w:jc w:val="both"/>
        <w:rPr>
          <w:rFonts w:ascii="Arial" w:hAnsi="Arial"/>
        </w:rPr>
      </w:pPr>
      <w:r w:rsidRPr="00F712B4">
        <w:rPr>
          <w:rFonts w:ascii="Arial" w:hAnsi="Arial" w:hint="cs"/>
          <w:rtl/>
        </w:rPr>
        <w:t>ביום 27.4.2022</w:t>
      </w:r>
      <w:r>
        <w:rPr>
          <w:rFonts w:ascii="Arial" w:hAnsi="Arial" w:hint="cs"/>
          <w:rtl/>
        </w:rPr>
        <w:t xml:space="preserve"> התקיים </w:t>
      </w:r>
      <w:r w:rsidRPr="00F712B4">
        <w:rPr>
          <w:rFonts w:ascii="Arial" w:hAnsi="Arial" w:hint="cs"/>
          <w:rtl/>
        </w:rPr>
        <w:t xml:space="preserve">דיון ההוכחות </w:t>
      </w:r>
      <w:r w:rsidR="006A2AB0">
        <w:rPr>
          <w:rFonts w:ascii="Arial" w:hAnsi="Arial" w:hint="cs"/>
          <w:rtl/>
        </w:rPr>
        <w:t>השלישי שבו נחקר בשלישית</w:t>
      </w:r>
      <w:r>
        <w:rPr>
          <w:rFonts w:ascii="Arial" w:hAnsi="Arial" w:hint="cs"/>
          <w:rtl/>
        </w:rPr>
        <w:t xml:space="preserve"> המומחה.</w:t>
      </w:r>
    </w:p>
    <w:p w:rsidR="006A2AB0" w:rsidRDefault="006A2AB0" w:rsidP="00AB4D2D">
      <w:pPr>
        <w:pStyle w:val="ac"/>
        <w:ind w:left="0"/>
        <w:rPr>
          <w:rFonts w:ascii="Arial" w:hAnsi="Arial"/>
          <w:rtl/>
        </w:rPr>
      </w:pPr>
    </w:p>
    <w:p w:rsidR="00F712B4" w:rsidRDefault="006A2AB0" w:rsidP="00F712B4">
      <w:pPr>
        <w:spacing w:after="160" w:line="360" w:lineRule="auto"/>
        <w:ind w:firstLine="720"/>
        <w:contextualSpacing/>
        <w:jc w:val="both"/>
        <w:rPr>
          <w:rFonts w:ascii="Arial" w:hAnsi="Arial"/>
          <w:rtl/>
        </w:rPr>
      </w:pPr>
      <w:r>
        <w:rPr>
          <w:rFonts w:ascii="Arial" w:hAnsi="Arial" w:hint="cs"/>
          <w:rtl/>
        </w:rPr>
        <w:t xml:space="preserve">ביום 9.5.2023 התקיים דיון ההוכחות הרביעי, שבו נחקרה המבקשת. </w:t>
      </w:r>
    </w:p>
    <w:p w:rsidR="00F712B4" w:rsidRDefault="00F712B4" w:rsidP="00F712B4">
      <w:pPr>
        <w:spacing w:after="160" w:line="360" w:lineRule="auto"/>
        <w:ind w:firstLine="720"/>
        <w:contextualSpacing/>
        <w:jc w:val="both"/>
        <w:rPr>
          <w:rFonts w:ascii="Arial" w:hAnsi="Arial"/>
          <w:rtl/>
        </w:rPr>
      </w:pPr>
    </w:p>
    <w:p w:rsidR="006A2AB0" w:rsidRDefault="00D0218D" w:rsidP="00F712B4">
      <w:pPr>
        <w:spacing w:after="160" w:line="360" w:lineRule="auto"/>
        <w:ind w:firstLine="720"/>
        <w:contextualSpacing/>
        <w:jc w:val="both"/>
        <w:rPr>
          <w:rFonts w:ascii="Arial" w:hAnsi="Arial"/>
        </w:rPr>
      </w:pPr>
      <w:r>
        <w:rPr>
          <w:rFonts w:ascii="Arial" w:hAnsi="Arial" w:hint="cs"/>
          <w:rtl/>
        </w:rPr>
        <w:t xml:space="preserve"> </w:t>
      </w:r>
      <w:r w:rsidR="006A2AB0">
        <w:rPr>
          <w:rFonts w:ascii="Arial" w:hAnsi="Arial" w:hint="cs"/>
          <w:rtl/>
        </w:rPr>
        <w:t>ביום 9.11.2022 התקיים דיון ההוכחות החמישית, שבו נחקר המשיב.</w:t>
      </w:r>
    </w:p>
    <w:p w:rsidR="008736F7" w:rsidRDefault="008736F7" w:rsidP="00AB4D2D">
      <w:pPr>
        <w:pStyle w:val="ac"/>
        <w:ind w:left="0"/>
        <w:rPr>
          <w:rFonts w:ascii="Arial" w:hAnsi="Arial"/>
          <w:rtl/>
        </w:rPr>
      </w:pPr>
    </w:p>
    <w:p w:rsidR="003A29ED" w:rsidRDefault="006A2AB0" w:rsidP="00D6687F">
      <w:pPr>
        <w:numPr>
          <w:ilvl w:val="0"/>
          <w:numId w:val="1"/>
        </w:numPr>
        <w:spacing w:after="160" w:line="360" w:lineRule="auto"/>
        <w:ind w:left="0" w:firstLine="0"/>
        <w:contextualSpacing/>
        <w:jc w:val="both"/>
        <w:rPr>
          <w:rFonts w:ascii="Arial" w:hAnsi="Arial"/>
        </w:rPr>
      </w:pPr>
      <w:r w:rsidRPr="001A456D">
        <w:rPr>
          <w:rFonts w:ascii="Arial" w:hAnsi="Arial" w:hint="cs"/>
          <w:rtl/>
        </w:rPr>
        <w:t>בדיון ההוכחות שהתקיים ביום 9.11.2022, ובניגוד לטענת המבקשת, בית המשפט לא "הציע"</w:t>
      </w:r>
      <w:r w:rsidR="003A29ED" w:rsidRPr="001A456D">
        <w:rPr>
          <w:rFonts w:ascii="Arial" w:hAnsi="Arial" w:hint="cs"/>
          <w:rtl/>
        </w:rPr>
        <w:t xml:space="preserve"> לסגור את תיק המזונות. בית המשפט אישר כי זכות המבקשת להגיש בקשה למחיקת תובענה, כפי שאכן עשתה, אך הדגיש כי "</w:t>
      </w:r>
      <w:r w:rsidR="003A29ED" w:rsidRPr="00BD5833">
        <w:rPr>
          <w:rFonts w:ascii="Arial" w:hAnsi="Arial" w:hint="cs"/>
          <w:b/>
          <w:bCs/>
          <w:rtl/>
        </w:rPr>
        <w:t>בית המשפט יכול להחליט אם הוא כן או לא</w:t>
      </w:r>
      <w:r w:rsidR="003A29ED" w:rsidRPr="001A456D">
        <w:rPr>
          <w:rFonts w:ascii="Arial" w:hAnsi="Arial" w:hint="cs"/>
          <w:rtl/>
        </w:rPr>
        <w:t>" (עמ</w:t>
      </w:r>
      <w:r w:rsidR="001A456D" w:rsidRPr="001A456D">
        <w:rPr>
          <w:rFonts w:ascii="Arial" w:hAnsi="Arial" w:hint="cs"/>
          <w:rtl/>
        </w:rPr>
        <w:t>'</w:t>
      </w:r>
      <w:r w:rsidR="003A29ED" w:rsidRPr="001A456D">
        <w:rPr>
          <w:rFonts w:ascii="Arial" w:hAnsi="Arial" w:hint="cs"/>
          <w:rtl/>
        </w:rPr>
        <w:t xml:space="preserve"> 256, שו</w:t>
      </w:r>
      <w:r w:rsidR="001A456D" w:rsidRPr="001A456D">
        <w:rPr>
          <w:rFonts w:ascii="Arial" w:hAnsi="Arial" w:hint="cs"/>
          <w:rtl/>
        </w:rPr>
        <w:t>'</w:t>
      </w:r>
      <w:r w:rsidR="003A29ED" w:rsidRPr="001A456D">
        <w:rPr>
          <w:rFonts w:ascii="Arial" w:hAnsi="Arial" w:hint="cs"/>
          <w:rtl/>
        </w:rPr>
        <w:t xml:space="preserve"> 31 לפרוטוקול הדיון מיום 9.11.2022).</w:t>
      </w:r>
      <w:r w:rsidR="001A456D" w:rsidRPr="001A456D">
        <w:rPr>
          <w:rFonts w:ascii="Arial" w:hAnsi="Arial" w:hint="cs"/>
          <w:rtl/>
        </w:rPr>
        <w:t xml:space="preserve"> </w:t>
      </w:r>
    </w:p>
    <w:p w:rsidR="003A29ED" w:rsidRDefault="003A29ED" w:rsidP="00ED1741">
      <w:pPr>
        <w:numPr>
          <w:ilvl w:val="0"/>
          <w:numId w:val="1"/>
        </w:numPr>
        <w:spacing w:after="160" w:line="360" w:lineRule="auto"/>
        <w:ind w:left="0" w:firstLine="0"/>
        <w:contextualSpacing/>
        <w:jc w:val="both"/>
        <w:rPr>
          <w:rFonts w:ascii="Arial" w:hAnsi="Arial"/>
        </w:rPr>
      </w:pPr>
      <w:r>
        <w:rPr>
          <w:rFonts w:ascii="Arial" w:hAnsi="Arial" w:hint="cs"/>
          <w:rtl/>
        </w:rPr>
        <w:lastRenderedPageBreak/>
        <w:t xml:space="preserve">בהחלטה, שניתנה בתום דיון ההוכחות </w:t>
      </w:r>
      <w:r w:rsidR="00ED1741">
        <w:rPr>
          <w:rFonts w:ascii="Arial" w:hAnsi="Arial" w:hint="cs"/>
          <w:rtl/>
        </w:rPr>
        <w:t>ב</w:t>
      </w:r>
      <w:r>
        <w:rPr>
          <w:rFonts w:ascii="Arial" w:hAnsi="Arial" w:hint="cs"/>
          <w:rtl/>
        </w:rPr>
        <w:t>יום 9.11.2022, ניתנ</w:t>
      </w:r>
      <w:r w:rsidR="001A456D">
        <w:rPr>
          <w:rFonts w:ascii="Arial" w:hAnsi="Arial" w:hint="cs"/>
          <w:rtl/>
        </w:rPr>
        <w:t>ו</w:t>
      </w:r>
      <w:r>
        <w:rPr>
          <w:rFonts w:ascii="Arial" w:hAnsi="Arial" w:hint="cs"/>
          <w:rtl/>
        </w:rPr>
        <w:t xml:space="preserve"> הוראות </w:t>
      </w:r>
      <w:r w:rsidR="00BD5833">
        <w:rPr>
          <w:rFonts w:ascii="Arial" w:hAnsi="Arial" w:hint="cs"/>
          <w:rtl/>
        </w:rPr>
        <w:t xml:space="preserve">ביחס </w:t>
      </w:r>
      <w:r>
        <w:rPr>
          <w:rFonts w:ascii="Arial" w:hAnsi="Arial" w:hint="cs"/>
          <w:rtl/>
        </w:rPr>
        <w:t>להגשות סיכומים מטעם הצדדים.</w:t>
      </w:r>
      <w:r w:rsidR="00A82520">
        <w:rPr>
          <w:rFonts w:ascii="Arial" w:hAnsi="Arial" w:hint="cs"/>
          <w:rtl/>
        </w:rPr>
        <w:t xml:space="preserve"> ביום 15.11.2022 </w:t>
      </w:r>
      <w:r w:rsidR="001A456D">
        <w:rPr>
          <w:rFonts w:ascii="Arial" w:hAnsi="Arial" w:hint="cs"/>
          <w:rtl/>
        </w:rPr>
        <w:t>כ</w:t>
      </w:r>
      <w:r w:rsidR="00A82520">
        <w:rPr>
          <w:rFonts w:ascii="Arial" w:hAnsi="Arial" w:hint="cs"/>
          <w:rtl/>
        </w:rPr>
        <w:t>שישה ימים לאחר מועד דיון ההוכחות האחרון בהליך ומתן ההחלטה להגשת סיכומים, הגישה המ</w:t>
      </w:r>
      <w:r w:rsidR="00766B25">
        <w:rPr>
          <w:rFonts w:ascii="Arial" w:hAnsi="Arial" w:hint="cs"/>
          <w:rtl/>
        </w:rPr>
        <w:t>ב</w:t>
      </w:r>
      <w:r w:rsidR="00A82520">
        <w:rPr>
          <w:rFonts w:ascii="Arial" w:hAnsi="Arial" w:hint="cs"/>
          <w:rtl/>
        </w:rPr>
        <w:t>קשת את הבקשה להפסקת התובענה וסגירת התיק.</w:t>
      </w:r>
    </w:p>
    <w:p w:rsidR="00A620A8" w:rsidRDefault="00A620A8" w:rsidP="00A620A8">
      <w:pPr>
        <w:pStyle w:val="ac"/>
        <w:rPr>
          <w:rFonts w:ascii="Arial" w:hAnsi="Arial"/>
          <w:rtl/>
        </w:rPr>
      </w:pPr>
    </w:p>
    <w:p w:rsidR="003465AD" w:rsidRDefault="003465AD" w:rsidP="00ED1741">
      <w:pPr>
        <w:numPr>
          <w:ilvl w:val="0"/>
          <w:numId w:val="1"/>
        </w:numPr>
        <w:spacing w:after="160" w:line="360" w:lineRule="auto"/>
        <w:ind w:left="0" w:firstLine="0"/>
        <w:contextualSpacing/>
        <w:jc w:val="both"/>
        <w:rPr>
          <w:rFonts w:ascii="Arial" w:hAnsi="Arial"/>
        </w:rPr>
      </w:pPr>
      <w:r>
        <w:rPr>
          <w:rFonts w:ascii="Arial" w:hAnsi="Arial" w:hint="cs"/>
          <w:rtl/>
        </w:rPr>
        <w:t>הנימוק העיקרי, אם לא היחיד, שמעלה המבקשת בבקשתה הוא שנוכח שינוי הנסיבות, המתבטא במעבר הקטינים לבית המשיב ו</w:t>
      </w:r>
      <w:r w:rsidR="0034449E">
        <w:rPr>
          <w:rFonts w:ascii="Arial" w:hAnsi="Arial" w:hint="cs"/>
          <w:rtl/>
        </w:rPr>
        <w:t>ביטול החיוב במזונות, התייתר הדיון בתביעה.</w:t>
      </w:r>
    </w:p>
    <w:p w:rsidR="003465AD" w:rsidRDefault="003465AD" w:rsidP="00AB4D2D">
      <w:pPr>
        <w:pStyle w:val="ac"/>
        <w:ind w:left="0"/>
        <w:rPr>
          <w:rFonts w:ascii="Arial" w:hAnsi="Arial"/>
          <w:rtl/>
        </w:rPr>
      </w:pPr>
    </w:p>
    <w:p w:rsidR="0034449E" w:rsidRDefault="0034449E" w:rsidP="00ED1741">
      <w:pPr>
        <w:numPr>
          <w:ilvl w:val="0"/>
          <w:numId w:val="1"/>
        </w:numPr>
        <w:spacing w:after="160" w:line="360" w:lineRule="auto"/>
        <w:ind w:left="0" w:firstLine="0"/>
        <w:contextualSpacing/>
        <w:jc w:val="both"/>
        <w:rPr>
          <w:rFonts w:ascii="Arial" w:hAnsi="Arial"/>
        </w:rPr>
      </w:pPr>
      <w:r>
        <w:rPr>
          <w:rFonts w:ascii="Arial" w:hAnsi="Arial" w:hint="cs"/>
          <w:rtl/>
        </w:rPr>
        <w:t>אין די בנימוק זה כדי להצדיק את הפסקת התובענה. אין בנימוק זה כדי לאיין את העובדה כי החל ממתן ההחלטה למזונות זמניים</w:t>
      </w:r>
      <w:r w:rsidR="001A456D">
        <w:rPr>
          <w:rFonts w:ascii="Arial" w:hAnsi="Arial" w:hint="cs"/>
          <w:rtl/>
        </w:rPr>
        <w:t xml:space="preserve"> ביום</w:t>
      </w:r>
      <w:r>
        <w:rPr>
          <w:rFonts w:ascii="Arial" w:hAnsi="Arial" w:hint="cs"/>
          <w:rtl/>
        </w:rPr>
        <w:t xml:space="preserve"> 10.12.2018, נוהל הליך ממושך, שבמסגרתו מונו מומחים, הוגשו מסמכים, נחקרו הצדדים והמומחה, </w:t>
      </w:r>
      <w:r w:rsidR="00A00C6F">
        <w:rPr>
          <w:rFonts w:ascii="Arial" w:hAnsi="Arial" w:hint="cs"/>
          <w:rtl/>
        </w:rPr>
        <w:t xml:space="preserve">והכל </w:t>
      </w:r>
      <w:r>
        <w:rPr>
          <w:rFonts w:ascii="Arial" w:hAnsi="Arial" w:hint="cs"/>
          <w:rtl/>
        </w:rPr>
        <w:t xml:space="preserve">לשם הכרעה </w:t>
      </w:r>
      <w:r w:rsidR="00D12865">
        <w:rPr>
          <w:rFonts w:ascii="Arial" w:hAnsi="Arial" w:hint="cs"/>
          <w:rtl/>
        </w:rPr>
        <w:t>בתובענה</w:t>
      </w:r>
      <w:r>
        <w:rPr>
          <w:rFonts w:ascii="Arial" w:hAnsi="Arial" w:hint="cs"/>
          <w:rtl/>
        </w:rPr>
        <w:t xml:space="preserve"> למזונות קבועים.</w:t>
      </w:r>
    </w:p>
    <w:p w:rsidR="0034449E" w:rsidRDefault="0034449E" w:rsidP="00AB4D2D">
      <w:pPr>
        <w:pStyle w:val="ac"/>
        <w:ind w:left="0"/>
        <w:rPr>
          <w:rFonts w:ascii="Arial" w:hAnsi="Arial"/>
          <w:rtl/>
        </w:rPr>
      </w:pPr>
    </w:p>
    <w:p w:rsidR="00A00C6F" w:rsidRDefault="0034449E" w:rsidP="00DF2C28">
      <w:pPr>
        <w:numPr>
          <w:ilvl w:val="0"/>
          <w:numId w:val="1"/>
        </w:numPr>
        <w:spacing w:after="160" w:line="360" w:lineRule="auto"/>
        <w:ind w:left="0" w:firstLine="0"/>
        <w:contextualSpacing/>
        <w:jc w:val="both"/>
        <w:rPr>
          <w:rFonts w:ascii="Arial" w:hAnsi="Arial"/>
        </w:rPr>
      </w:pPr>
      <w:r w:rsidRPr="00C11030">
        <w:rPr>
          <w:rFonts w:ascii="Arial" w:hAnsi="Arial" w:hint="cs"/>
          <w:rtl/>
        </w:rPr>
        <w:t>למעשה, הבקשה למחיקת התובענה משמעה בקשה לביטול הליך ההוכחות המורכב והממו</w:t>
      </w:r>
      <w:r w:rsidR="000F74A0" w:rsidRPr="00C11030">
        <w:rPr>
          <w:rFonts w:ascii="Arial" w:hAnsi="Arial" w:hint="cs"/>
          <w:rtl/>
        </w:rPr>
        <w:t xml:space="preserve">שך שהתקיים, לרבות ביטול אפשרות של המשיב לבחון את זכאותו להשבת מזונות, ככל שבפסק הדין יושתת בסיס לזכאות זו. </w:t>
      </w:r>
    </w:p>
    <w:p w:rsidR="004216F2" w:rsidRDefault="004216F2" w:rsidP="004216F2">
      <w:pPr>
        <w:pStyle w:val="ac"/>
        <w:rPr>
          <w:rFonts w:ascii="Arial" w:hAnsi="Arial"/>
          <w:rtl/>
        </w:rPr>
      </w:pPr>
    </w:p>
    <w:p w:rsidR="004216F2" w:rsidRDefault="004216F2" w:rsidP="00BD5833">
      <w:pPr>
        <w:numPr>
          <w:ilvl w:val="0"/>
          <w:numId w:val="1"/>
        </w:numPr>
        <w:spacing w:after="160" w:line="360" w:lineRule="auto"/>
        <w:ind w:left="0" w:firstLine="0"/>
        <w:contextualSpacing/>
        <w:jc w:val="both"/>
        <w:rPr>
          <w:rFonts w:ascii="Arial" w:hAnsi="Arial"/>
        </w:rPr>
      </w:pPr>
      <w:r w:rsidRPr="004216F2">
        <w:rPr>
          <w:rFonts w:ascii="Arial" w:hAnsi="Arial" w:hint="cs"/>
          <w:rtl/>
        </w:rPr>
        <w:t xml:space="preserve"> </w:t>
      </w:r>
      <w:r w:rsidR="00D12865" w:rsidRPr="00BD5833">
        <w:rPr>
          <w:rFonts w:ascii="Arial" w:hAnsi="Arial" w:hint="cs"/>
          <w:b/>
          <w:bCs/>
          <w:rtl/>
        </w:rPr>
        <w:t>הפסק</w:t>
      </w:r>
      <w:r w:rsidR="001041ED" w:rsidRPr="00BD5833">
        <w:rPr>
          <w:rFonts w:ascii="Arial" w:hAnsi="Arial" w:hint="cs"/>
          <w:b/>
          <w:bCs/>
          <w:rtl/>
        </w:rPr>
        <w:t>ת</w:t>
      </w:r>
      <w:r w:rsidR="00D12865" w:rsidRPr="00BD5833">
        <w:rPr>
          <w:rFonts w:ascii="Arial" w:hAnsi="Arial" w:hint="cs"/>
          <w:b/>
          <w:bCs/>
          <w:rtl/>
        </w:rPr>
        <w:t xml:space="preserve"> תובענה במזונות אינה דומה להפסקת תובענה אחרת</w:t>
      </w:r>
      <w:r w:rsidR="00D12865" w:rsidRPr="004216F2">
        <w:rPr>
          <w:rFonts w:ascii="Arial" w:hAnsi="Arial" w:hint="cs"/>
          <w:rtl/>
        </w:rPr>
        <w:t xml:space="preserve">, וזאת לנוכח הייחוד שבה </w:t>
      </w:r>
      <w:r w:rsidR="00A00C6F" w:rsidRPr="004216F2">
        <w:rPr>
          <w:rFonts w:ascii="Arial" w:hAnsi="Arial" w:hint="cs"/>
          <w:rtl/>
        </w:rPr>
        <w:t>בדמות המזונות הזמניים</w:t>
      </w:r>
      <w:r w:rsidR="00BD5833">
        <w:rPr>
          <w:rFonts w:ascii="Arial" w:hAnsi="Arial" w:hint="cs"/>
          <w:rtl/>
        </w:rPr>
        <w:t xml:space="preserve"> הנקבעים בה בתחילת ההליך</w:t>
      </w:r>
      <w:r w:rsidR="00ED1741" w:rsidRPr="004216F2">
        <w:rPr>
          <w:rFonts w:ascii="Arial" w:hAnsi="Arial" w:hint="cs"/>
          <w:rtl/>
        </w:rPr>
        <w:t>.</w:t>
      </w:r>
      <w:r w:rsidR="001041ED" w:rsidRPr="004216F2">
        <w:rPr>
          <w:rFonts w:ascii="Arial" w:hAnsi="Arial" w:hint="cs"/>
          <w:rtl/>
        </w:rPr>
        <w:t xml:space="preserve"> </w:t>
      </w:r>
      <w:r w:rsidR="005A1DD1" w:rsidRPr="004216F2">
        <w:rPr>
          <w:rFonts w:ascii="Arial" w:hAnsi="Arial" w:hint="cs"/>
          <w:rtl/>
        </w:rPr>
        <w:t xml:space="preserve">הקביעה </w:t>
      </w:r>
      <w:r w:rsidR="00ED1741" w:rsidRPr="004216F2">
        <w:rPr>
          <w:rFonts w:ascii="Arial" w:hAnsi="Arial" w:hint="cs"/>
          <w:rtl/>
        </w:rPr>
        <w:t xml:space="preserve">לגובה דמי המזונות הזמניים </w:t>
      </w:r>
      <w:r w:rsidR="005A1DD1" w:rsidRPr="004216F2">
        <w:rPr>
          <w:rFonts w:ascii="Arial" w:hAnsi="Arial" w:hint="cs"/>
          <w:rtl/>
        </w:rPr>
        <w:t>ש</w:t>
      </w:r>
      <w:r w:rsidR="001041ED" w:rsidRPr="004216F2">
        <w:rPr>
          <w:rFonts w:ascii="Arial" w:hAnsi="Arial" w:hint="cs"/>
          <w:rtl/>
        </w:rPr>
        <w:t>ניתנה בתחילת ההליך</w:t>
      </w:r>
      <w:r w:rsidR="005A1DD1" w:rsidRPr="004216F2">
        <w:rPr>
          <w:rFonts w:ascii="Arial" w:hAnsi="Arial" w:hint="cs"/>
          <w:rtl/>
        </w:rPr>
        <w:t xml:space="preserve"> עשויה להיות שו</w:t>
      </w:r>
      <w:r w:rsidR="00C11030" w:rsidRPr="004216F2">
        <w:rPr>
          <w:rFonts w:ascii="Arial" w:hAnsi="Arial" w:hint="cs"/>
          <w:rtl/>
        </w:rPr>
        <w:t>נה בסוף ההליך, וזאת לאחר שמלוא התמונה נפרשה לפני בית המשפט.</w:t>
      </w:r>
      <w:r w:rsidR="001A456D" w:rsidRPr="004216F2">
        <w:rPr>
          <w:rFonts w:ascii="Arial" w:hAnsi="Arial" w:hint="cs"/>
          <w:rtl/>
        </w:rPr>
        <w:t xml:space="preserve"> לפיכך, גם כאשר דה פקטו התייתרה העילה שבגינה הוגשה התובענה</w:t>
      </w:r>
      <w:r w:rsidR="00ED1741" w:rsidRPr="004216F2">
        <w:rPr>
          <w:rFonts w:ascii="Arial" w:hAnsi="Arial" w:hint="cs"/>
          <w:rtl/>
        </w:rPr>
        <w:t>,</w:t>
      </w:r>
      <w:r w:rsidR="001A456D" w:rsidRPr="004216F2">
        <w:rPr>
          <w:rFonts w:ascii="Arial" w:hAnsi="Arial" w:hint="cs"/>
          <w:rtl/>
        </w:rPr>
        <w:t xml:space="preserve"> בשל מעבר כל הילדים להתגורר בבית האב, עדיין במסגרת פסק הדין שומא על בית המשפט </w:t>
      </w:r>
      <w:r w:rsidR="00ED1741" w:rsidRPr="004216F2">
        <w:rPr>
          <w:rFonts w:ascii="Arial" w:hAnsi="Arial" w:hint="cs"/>
          <w:rtl/>
        </w:rPr>
        <w:t>לבדוק האם</w:t>
      </w:r>
      <w:r w:rsidR="001A456D" w:rsidRPr="004216F2">
        <w:rPr>
          <w:rFonts w:ascii="Arial" w:hAnsi="Arial" w:hint="cs"/>
          <w:rtl/>
        </w:rPr>
        <w:t xml:space="preserve"> גובה דמי המזונות הזמניים שנפסקו היו ראויים</w:t>
      </w:r>
      <w:r w:rsidR="00BD5833">
        <w:rPr>
          <w:rFonts w:ascii="Arial" w:hAnsi="Arial" w:hint="cs"/>
          <w:rtl/>
        </w:rPr>
        <w:t>.</w:t>
      </w:r>
      <w:r w:rsidRPr="004216F2">
        <w:rPr>
          <w:rFonts w:ascii="Arial" w:hAnsi="Arial" w:hint="cs"/>
          <w:rtl/>
        </w:rPr>
        <w:t xml:space="preserve"> לשם כך גם נקבעו דיוני ההוכחות וחקירת המומחה. </w:t>
      </w:r>
    </w:p>
    <w:p w:rsidR="004216F2" w:rsidRDefault="004216F2" w:rsidP="004216F2">
      <w:pPr>
        <w:pStyle w:val="ac"/>
        <w:rPr>
          <w:rFonts w:ascii="Arial" w:hAnsi="Arial"/>
          <w:rtl/>
        </w:rPr>
      </w:pPr>
    </w:p>
    <w:p w:rsidR="000F74A0" w:rsidRDefault="001531BE" w:rsidP="00A43829">
      <w:pPr>
        <w:pStyle w:val="ac"/>
        <w:numPr>
          <w:ilvl w:val="0"/>
          <w:numId w:val="1"/>
        </w:numPr>
        <w:spacing w:after="160" w:line="360" w:lineRule="auto"/>
        <w:ind w:left="0" w:firstLine="0"/>
        <w:jc w:val="both"/>
        <w:rPr>
          <w:rFonts w:ascii="Arial" w:hAnsi="Arial"/>
        </w:rPr>
      </w:pPr>
      <w:r w:rsidRPr="001A456D">
        <w:rPr>
          <w:rFonts w:ascii="Arial" w:hAnsi="Arial" w:hint="cs"/>
          <w:rtl/>
        </w:rPr>
        <w:t>שלב הגשת הבקשה</w:t>
      </w:r>
      <w:r w:rsidR="00A43829">
        <w:rPr>
          <w:rFonts w:ascii="Arial" w:hAnsi="Arial" w:hint="cs"/>
          <w:rtl/>
        </w:rPr>
        <w:t xml:space="preserve"> דנן,</w:t>
      </w:r>
      <w:r w:rsidR="001A456D">
        <w:rPr>
          <w:rFonts w:ascii="Arial" w:hAnsi="Arial" w:hint="cs"/>
          <w:rtl/>
        </w:rPr>
        <w:t xml:space="preserve"> לאחר תום דיון ההוכ</w:t>
      </w:r>
      <w:r w:rsidR="00A43829">
        <w:rPr>
          <w:rFonts w:ascii="Arial" w:hAnsi="Arial" w:hint="cs"/>
          <w:rtl/>
        </w:rPr>
        <w:t>חות האחרון בתיק,</w:t>
      </w:r>
      <w:r w:rsidR="001A456D">
        <w:rPr>
          <w:rFonts w:ascii="Arial" w:hAnsi="Arial" w:hint="cs"/>
          <w:rtl/>
        </w:rPr>
        <w:t xml:space="preserve"> </w:t>
      </w:r>
      <w:r w:rsidRPr="001A456D">
        <w:rPr>
          <w:rFonts w:ascii="Arial" w:hAnsi="Arial" w:hint="cs"/>
          <w:rtl/>
        </w:rPr>
        <w:t>מטה את הכף לטובת דחיית הבקשה</w:t>
      </w:r>
      <w:r w:rsidR="00A43829">
        <w:rPr>
          <w:rFonts w:ascii="Arial" w:hAnsi="Arial" w:hint="cs"/>
          <w:rtl/>
        </w:rPr>
        <w:t>.</w:t>
      </w:r>
      <w:r w:rsidRPr="001A456D">
        <w:rPr>
          <w:rFonts w:ascii="Arial" w:hAnsi="Arial" w:hint="cs"/>
          <w:rtl/>
        </w:rPr>
        <w:t xml:space="preserve"> </w:t>
      </w:r>
      <w:r w:rsidR="000F74A0" w:rsidRPr="001A456D">
        <w:rPr>
          <w:rFonts w:ascii="Arial" w:hAnsi="Arial" w:hint="cs"/>
          <w:rtl/>
        </w:rPr>
        <w:t>ההליך נמצא בישורת האחרונה שלו</w:t>
      </w:r>
      <w:r w:rsidR="00A43829">
        <w:rPr>
          <w:rFonts w:ascii="Arial" w:hAnsi="Arial" w:hint="cs"/>
          <w:rtl/>
        </w:rPr>
        <w:t>,</w:t>
      </w:r>
      <w:r w:rsidR="000F74A0" w:rsidRPr="001A456D">
        <w:rPr>
          <w:rFonts w:ascii="Arial" w:hAnsi="Arial" w:hint="cs"/>
          <w:rtl/>
        </w:rPr>
        <w:t xml:space="preserve"> תמו דיוני ההוכחות והצדדים עתידים להגיש את סיכומיהם. </w:t>
      </w:r>
    </w:p>
    <w:p w:rsidR="00ED1741" w:rsidRDefault="00ED1741" w:rsidP="00ED1741">
      <w:pPr>
        <w:pStyle w:val="ac"/>
        <w:spacing w:after="160" w:line="360" w:lineRule="auto"/>
        <w:ind w:left="0"/>
        <w:jc w:val="both"/>
        <w:rPr>
          <w:rFonts w:ascii="Arial" w:hAnsi="Arial"/>
        </w:rPr>
      </w:pPr>
    </w:p>
    <w:p w:rsidR="00B46DDE" w:rsidRDefault="00ED1741" w:rsidP="00ED1741">
      <w:pPr>
        <w:pStyle w:val="ac"/>
        <w:numPr>
          <w:ilvl w:val="0"/>
          <w:numId w:val="1"/>
        </w:numPr>
        <w:spacing w:after="160" w:line="360" w:lineRule="auto"/>
        <w:ind w:left="0" w:firstLine="0"/>
        <w:jc w:val="both"/>
        <w:rPr>
          <w:rFonts w:ascii="Arial" w:hAnsi="Arial"/>
        </w:rPr>
      </w:pPr>
      <w:r w:rsidRPr="00ED1741">
        <w:rPr>
          <w:rFonts w:ascii="Arial" w:hAnsi="Arial" w:hint="cs"/>
          <w:rtl/>
        </w:rPr>
        <w:t xml:space="preserve"> </w:t>
      </w:r>
      <w:r w:rsidR="000F74A0" w:rsidRPr="00ED1741">
        <w:rPr>
          <w:rFonts w:ascii="Arial" w:hAnsi="Arial" w:hint="cs"/>
          <w:rtl/>
        </w:rPr>
        <w:t>תפקיד בית המשפט, ב</w:t>
      </w:r>
      <w:r>
        <w:rPr>
          <w:rFonts w:ascii="Arial" w:hAnsi="Arial" w:hint="cs"/>
          <w:rtl/>
        </w:rPr>
        <w:t>עת</w:t>
      </w:r>
      <w:r w:rsidR="000F74A0" w:rsidRPr="00ED1741">
        <w:rPr>
          <w:rFonts w:ascii="Arial" w:hAnsi="Arial" w:hint="cs"/>
          <w:rtl/>
        </w:rPr>
        <w:t xml:space="preserve"> הכרעתו בבקשה להפסקת תובענה</w:t>
      </w:r>
      <w:r w:rsidR="0055102C" w:rsidRPr="00ED1741">
        <w:rPr>
          <w:rFonts w:ascii="Arial" w:hAnsi="Arial" w:hint="cs"/>
          <w:rtl/>
        </w:rPr>
        <w:t xml:space="preserve">, אינו מתמצה בבחינת האינטרסים של התובע, בהיותו ריבון על תביעתו, אלא </w:t>
      </w:r>
      <w:r w:rsidR="00B46DDE" w:rsidRPr="00ED1741">
        <w:rPr>
          <w:rFonts w:ascii="Arial" w:hAnsi="Arial" w:hint="cs"/>
          <w:rtl/>
        </w:rPr>
        <w:t>לבחון בד בבד את האינטרסים של הנתבע, לרבות האינטרס שלו להימנע מפגיעה שעשויה להגרם לו ככל שהתביעה נגדו תופסק, באופן שישלל ממנו סיום ההליך בפסק דין שעשוי לשמש לטובתו.</w:t>
      </w:r>
      <w:r w:rsidR="001A456D" w:rsidRPr="00ED1741">
        <w:rPr>
          <w:rFonts w:ascii="Arial" w:hAnsi="Arial" w:hint="cs"/>
          <w:rtl/>
        </w:rPr>
        <w:t xml:space="preserve"> </w:t>
      </w:r>
    </w:p>
    <w:p w:rsidR="00BD5833" w:rsidRPr="00BD5833" w:rsidRDefault="00BD5833" w:rsidP="00BD5833">
      <w:pPr>
        <w:pStyle w:val="ac"/>
        <w:rPr>
          <w:rFonts w:ascii="Arial" w:hAnsi="Arial"/>
          <w:rtl/>
        </w:rPr>
      </w:pPr>
    </w:p>
    <w:p w:rsidR="004216F2" w:rsidRPr="004216F2" w:rsidRDefault="004216F2" w:rsidP="004216F2">
      <w:pPr>
        <w:pStyle w:val="ac"/>
        <w:rPr>
          <w:rFonts w:ascii="Arial" w:hAnsi="Arial"/>
          <w:rtl/>
        </w:rPr>
      </w:pPr>
    </w:p>
    <w:p w:rsidR="00B46DDE" w:rsidRDefault="00C5561A" w:rsidP="001A456D">
      <w:pPr>
        <w:numPr>
          <w:ilvl w:val="0"/>
          <w:numId w:val="1"/>
        </w:numPr>
        <w:spacing w:after="160" w:line="360" w:lineRule="auto"/>
        <w:ind w:left="0" w:firstLine="0"/>
        <w:contextualSpacing/>
        <w:jc w:val="both"/>
        <w:rPr>
          <w:rFonts w:ascii="Arial" w:hAnsi="Arial"/>
        </w:rPr>
      </w:pPr>
      <w:r>
        <w:rPr>
          <w:rFonts w:ascii="Arial" w:hAnsi="Arial" w:hint="cs"/>
          <w:rtl/>
        </w:rPr>
        <w:t>משכך ניתן לומר, כי</w:t>
      </w:r>
      <w:r w:rsidR="001A456D">
        <w:rPr>
          <w:rFonts w:ascii="Arial" w:hAnsi="Arial" w:hint="cs"/>
          <w:rtl/>
        </w:rPr>
        <w:t xml:space="preserve"> </w:t>
      </w:r>
      <w:r w:rsidR="00B46DDE">
        <w:rPr>
          <w:rFonts w:ascii="Arial" w:hAnsi="Arial" w:hint="cs"/>
          <w:rtl/>
        </w:rPr>
        <w:t xml:space="preserve">המהות של הבקשה שהוגשה על המבקשת הוא </w:t>
      </w:r>
      <w:r w:rsidR="001A456D">
        <w:rPr>
          <w:rFonts w:ascii="Arial" w:hAnsi="Arial" w:hint="cs"/>
          <w:rtl/>
        </w:rPr>
        <w:t xml:space="preserve">כמעין </w:t>
      </w:r>
      <w:r w:rsidR="00B46DDE">
        <w:rPr>
          <w:rFonts w:ascii="Arial" w:hAnsi="Arial" w:hint="cs"/>
          <w:rtl/>
        </w:rPr>
        <w:t xml:space="preserve">נסיון </w:t>
      </w:r>
      <w:r w:rsidR="00B46DDE" w:rsidRPr="001A456D">
        <w:rPr>
          <w:rFonts w:ascii="Arial" w:hAnsi="Arial" w:hint="cs"/>
          <w:b/>
          <w:bCs/>
          <w:rtl/>
        </w:rPr>
        <w:t xml:space="preserve">"להתחמק מבעד לדלת האחורית על מנת למנוע הכרעה" </w:t>
      </w:r>
      <w:r w:rsidR="00B46DDE">
        <w:rPr>
          <w:rFonts w:ascii="Arial" w:hAnsi="Arial" w:hint="cs"/>
          <w:rtl/>
        </w:rPr>
        <w:t xml:space="preserve">(ע"א 579/90 </w:t>
      </w:r>
      <w:r w:rsidR="00B46DDE" w:rsidRPr="001531BE">
        <w:rPr>
          <w:rFonts w:ascii="Arial" w:hAnsi="Arial" w:hint="cs"/>
          <w:b/>
          <w:bCs/>
          <w:rtl/>
        </w:rPr>
        <w:t>רוזין נ' בן נון</w:t>
      </w:r>
      <w:r w:rsidR="00B46DDE">
        <w:rPr>
          <w:rFonts w:ascii="Arial" w:hAnsi="Arial" w:hint="cs"/>
          <w:rtl/>
        </w:rPr>
        <w:t xml:space="preserve"> (5.7.1992)</w:t>
      </w:r>
      <w:r w:rsidR="001531BE">
        <w:rPr>
          <w:rFonts w:ascii="Arial" w:hAnsi="Arial" w:hint="cs"/>
          <w:rtl/>
        </w:rPr>
        <w:t>).</w:t>
      </w:r>
    </w:p>
    <w:p w:rsidR="00A00C6F" w:rsidRDefault="00A00C6F" w:rsidP="00A00C6F">
      <w:pPr>
        <w:spacing w:after="160" w:line="360" w:lineRule="auto"/>
        <w:contextualSpacing/>
        <w:jc w:val="both"/>
        <w:rPr>
          <w:rFonts w:ascii="Arial" w:hAnsi="Arial"/>
        </w:rPr>
      </w:pPr>
    </w:p>
    <w:p w:rsidR="00B46DDE" w:rsidRDefault="00A00C6F" w:rsidP="00AB4D2D">
      <w:pPr>
        <w:spacing w:after="160" w:line="360" w:lineRule="auto"/>
        <w:contextualSpacing/>
        <w:jc w:val="both"/>
        <w:rPr>
          <w:rFonts w:ascii="Arial" w:hAnsi="Arial"/>
          <w:b/>
          <w:bCs/>
          <w:sz w:val="28"/>
          <w:szCs w:val="28"/>
          <w:u w:val="single"/>
          <w:rtl/>
        </w:rPr>
      </w:pPr>
      <w:r w:rsidRPr="00A00C6F">
        <w:rPr>
          <w:rFonts w:ascii="Arial" w:hAnsi="Arial" w:hint="cs"/>
          <w:b/>
          <w:bCs/>
          <w:sz w:val="28"/>
          <w:szCs w:val="28"/>
          <w:u w:val="single"/>
          <w:rtl/>
        </w:rPr>
        <w:lastRenderedPageBreak/>
        <w:t>התוצאה</w:t>
      </w:r>
    </w:p>
    <w:p w:rsidR="001A456D" w:rsidRPr="00A00C6F" w:rsidRDefault="001A456D" w:rsidP="00AB4D2D">
      <w:pPr>
        <w:spacing w:after="160" w:line="360" w:lineRule="auto"/>
        <w:contextualSpacing/>
        <w:jc w:val="both"/>
        <w:rPr>
          <w:rFonts w:ascii="Arial" w:hAnsi="Arial"/>
          <w:b/>
          <w:bCs/>
          <w:sz w:val="28"/>
          <w:szCs w:val="28"/>
          <w:u w:val="single"/>
        </w:rPr>
      </w:pPr>
    </w:p>
    <w:p w:rsidR="003819EA" w:rsidRDefault="00C5561A" w:rsidP="004216F2">
      <w:pPr>
        <w:numPr>
          <w:ilvl w:val="0"/>
          <w:numId w:val="1"/>
        </w:numPr>
        <w:spacing w:after="160" w:line="360" w:lineRule="auto"/>
        <w:ind w:left="0" w:firstLine="0"/>
        <w:contextualSpacing/>
        <w:jc w:val="both"/>
        <w:rPr>
          <w:rFonts w:ascii="Arial" w:hAnsi="Arial"/>
        </w:rPr>
      </w:pPr>
      <w:r>
        <w:rPr>
          <w:rFonts w:ascii="Arial" w:hAnsi="Arial" w:hint="cs"/>
          <w:rtl/>
        </w:rPr>
        <w:t xml:space="preserve">לנוכח כל האמור, </w:t>
      </w:r>
      <w:r w:rsidR="00B46DDE">
        <w:rPr>
          <w:rFonts w:ascii="Arial" w:hAnsi="Arial" w:hint="cs"/>
          <w:rtl/>
        </w:rPr>
        <w:t xml:space="preserve">הבקשה </w:t>
      </w:r>
      <w:r w:rsidR="00A43829">
        <w:rPr>
          <w:rFonts w:ascii="Arial" w:hAnsi="Arial" w:hint="cs"/>
          <w:rtl/>
        </w:rPr>
        <w:t xml:space="preserve">להפסקת התובענה </w:t>
      </w:r>
      <w:r w:rsidR="00B46DDE">
        <w:rPr>
          <w:rFonts w:ascii="Arial" w:hAnsi="Arial" w:hint="cs"/>
          <w:rtl/>
        </w:rPr>
        <w:t>נדחית</w:t>
      </w:r>
      <w:r w:rsidR="00D04C58">
        <w:rPr>
          <w:rFonts w:ascii="Arial" w:hAnsi="Arial" w:hint="cs"/>
          <w:rtl/>
        </w:rPr>
        <w:t>.</w:t>
      </w:r>
    </w:p>
    <w:p w:rsidR="00D04C58" w:rsidRDefault="00D04C58" w:rsidP="00AB4D2D">
      <w:pPr>
        <w:pStyle w:val="ac"/>
        <w:ind w:left="0"/>
        <w:rPr>
          <w:rFonts w:ascii="Arial" w:hAnsi="Arial"/>
          <w:rtl/>
        </w:rPr>
      </w:pPr>
    </w:p>
    <w:p w:rsidR="00D04C58" w:rsidRDefault="000F0586" w:rsidP="00AB4D2D">
      <w:pPr>
        <w:numPr>
          <w:ilvl w:val="0"/>
          <w:numId w:val="1"/>
        </w:numPr>
        <w:spacing w:after="160" w:line="360" w:lineRule="auto"/>
        <w:ind w:left="0" w:firstLine="0"/>
        <w:contextualSpacing/>
        <w:jc w:val="both"/>
        <w:rPr>
          <w:rFonts w:ascii="Arial" w:hAnsi="Arial"/>
        </w:rPr>
      </w:pPr>
      <w:r>
        <w:rPr>
          <w:rFonts w:ascii="Arial" w:hAnsi="Arial" w:hint="cs"/>
          <w:rtl/>
        </w:rPr>
        <w:t>אשר לסוגיית ההוצאות, זאת תידון בפסק הדין הסופי בתיק.</w:t>
      </w:r>
    </w:p>
    <w:p w:rsidR="000F0586" w:rsidRDefault="000F0586" w:rsidP="000F0586">
      <w:pPr>
        <w:pStyle w:val="ac"/>
        <w:rPr>
          <w:rFonts w:ascii="Arial" w:hAnsi="Arial"/>
          <w:rtl/>
        </w:rPr>
      </w:pPr>
    </w:p>
    <w:p w:rsidR="001531BE" w:rsidRDefault="001A456D" w:rsidP="00AB4D2D">
      <w:pPr>
        <w:numPr>
          <w:ilvl w:val="0"/>
          <w:numId w:val="1"/>
        </w:numPr>
        <w:spacing w:after="160" w:line="360" w:lineRule="auto"/>
        <w:ind w:left="0" w:firstLine="0"/>
        <w:contextualSpacing/>
        <w:jc w:val="both"/>
        <w:rPr>
          <w:rFonts w:ascii="Arial" w:hAnsi="Arial"/>
        </w:rPr>
      </w:pPr>
      <w:r w:rsidRPr="000F0586">
        <w:rPr>
          <w:rFonts w:ascii="Arial" w:hAnsi="Arial" w:hint="cs"/>
          <w:rtl/>
        </w:rPr>
        <w:t xml:space="preserve">סיכומי הצדדים יוגשו לתיק ביחד עם כלל התובענות התלויות ועומדות בין הצדדים, וזאת על פי </w:t>
      </w:r>
      <w:r w:rsidR="00BD5833">
        <w:rPr>
          <w:rFonts w:ascii="Arial" w:hAnsi="Arial" w:hint="cs"/>
          <w:rtl/>
        </w:rPr>
        <w:t>ההוראות שניתנו ב</w:t>
      </w:r>
      <w:r w:rsidRPr="000F0586">
        <w:rPr>
          <w:rFonts w:ascii="Arial" w:hAnsi="Arial" w:hint="cs"/>
          <w:rtl/>
        </w:rPr>
        <w:t xml:space="preserve">החלטת בית המשפט מיום </w:t>
      </w:r>
      <w:r w:rsidR="000F0586" w:rsidRPr="000F0586">
        <w:rPr>
          <w:rFonts w:ascii="Arial" w:hAnsi="Arial" w:hint="cs"/>
          <w:rtl/>
        </w:rPr>
        <w:t>22.2.2023</w:t>
      </w:r>
      <w:r w:rsidR="00BD5833">
        <w:rPr>
          <w:rFonts w:ascii="Arial" w:hAnsi="Arial" w:hint="cs"/>
          <w:rtl/>
        </w:rPr>
        <w:t xml:space="preserve"> (הדיון התקיים בהקלטה והתמלול טרם הוגש לתיק)</w:t>
      </w:r>
      <w:r w:rsidR="000F0586" w:rsidRPr="000F0586">
        <w:rPr>
          <w:rFonts w:ascii="Arial" w:hAnsi="Arial" w:hint="cs"/>
          <w:rtl/>
        </w:rPr>
        <w:t>.</w:t>
      </w:r>
    </w:p>
    <w:p w:rsidR="00C5561A" w:rsidRDefault="00C5561A" w:rsidP="00C5561A">
      <w:pPr>
        <w:pStyle w:val="ac"/>
        <w:rPr>
          <w:rFonts w:ascii="Arial" w:hAnsi="Arial"/>
          <w:rtl/>
        </w:rPr>
      </w:pPr>
    </w:p>
    <w:p w:rsidR="00C5561A" w:rsidRDefault="00C5561A" w:rsidP="00AB4D2D">
      <w:pPr>
        <w:numPr>
          <w:ilvl w:val="0"/>
          <w:numId w:val="1"/>
        </w:numPr>
        <w:spacing w:after="160" w:line="360" w:lineRule="auto"/>
        <w:ind w:left="0" w:firstLine="0"/>
        <w:contextualSpacing/>
        <w:jc w:val="both"/>
        <w:rPr>
          <w:rFonts w:ascii="Arial" w:hAnsi="Arial"/>
        </w:rPr>
      </w:pPr>
      <w:r>
        <w:rPr>
          <w:rFonts w:ascii="Arial" w:hAnsi="Arial" w:hint="cs"/>
          <w:rtl/>
        </w:rPr>
        <w:t>ההחלטה ניתנת לפרסום בהשמטת פרטים מזהים.</w:t>
      </w:r>
    </w:p>
    <w:p w:rsidR="00094813" w:rsidRDefault="00094813">
      <w:pPr>
        <w:spacing w:line="360" w:lineRule="auto"/>
        <w:jc w:val="both"/>
        <w:rPr>
          <w:rFonts w:ascii="Arial" w:hAnsi="Arial"/>
          <w:noProof w:val="0"/>
          <w:rtl/>
        </w:rPr>
      </w:pPr>
    </w:p>
    <w:p w:rsidR="00C5561A" w:rsidRDefault="00C5561A">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ד' ניסן תשפ"ג</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26 מרץ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E01D5C">
      <w:pPr>
        <w:spacing w:line="360" w:lineRule="auto"/>
        <w:ind w:left="3600" w:firstLine="720"/>
        <w:jc w:val="both"/>
      </w:pPr>
      <w:sdt>
        <w:sdtPr>
          <w:rPr>
            <w:rtl/>
          </w:rPr>
          <w:alias w:val="MergeField"/>
          <w:tag w:val="1237"/>
          <w:id w:val="6876597"/>
        </w:sdtPr>
        <w:sdtEndPr/>
        <w:sdtContent>
          <w:r w:rsidR="00A14AB1">
            <w:drawing>
              <wp:inline distT="0" distB="0" distL="0" distR="0" wp14:editId="50D07946">
                <wp:extent cx="1771650" cy="5048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71650" cy="504824"/>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3819EA">
      <w:headerReference w:type="default" r:id="rId9"/>
      <w:footerReference w:type="default" r:id="rId10"/>
      <w:pgSz w:w="11907" w:h="16840" w:code="9"/>
      <w:pgMar w:top="720" w:right="1701" w:bottom="431" w:left="1701" w:header="720" w:footer="1055"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D5C" w:rsidRDefault="00E01D5C">
      <w:r>
        <w:separator/>
      </w:r>
    </w:p>
  </w:endnote>
  <w:endnote w:type="continuationSeparator" w:id="0">
    <w:p w:rsidR="00E01D5C" w:rsidRDefault="00E01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E7990">
      <w:rPr>
        <w:rStyle w:val="ab"/>
        <w:rtl/>
      </w:rPr>
      <w:t>5</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E7990">
      <w:rPr>
        <w:rStyle w:val="ab"/>
        <w:rtl/>
      </w:rPr>
      <w:t>5</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D5C" w:rsidRDefault="00E01D5C">
      <w:r>
        <w:separator/>
      </w:r>
    </w:p>
  </w:footnote>
  <w:footnote w:type="continuationSeparator" w:id="0">
    <w:p w:rsidR="00E01D5C" w:rsidRDefault="00E01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E01D5C" w:rsidP="00527635">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תלה"מ</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66756-01-18</w:t>
              </w:r>
            </w:sdtContent>
          </w:sdt>
          <w:r w:rsidR="00011212">
            <w:rPr>
              <w:b/>
              <w:bCs/>
              <w:noProof w:val="0"/>
              <w:sz w:val="26"/>
              <w:szCs w:val="26"/>
              <w:rtl/>
            </w:rPr>
            <w:t xml:space="preserve"> </w:t>
          </w:r>
          <w:sdt>
            <w:sdtPr>
              <w:rPr>
                <w:rtl/>
              </w:rPr>
              <w:alias w:val="1172"/>
              <w:tag w:val="1172"/>
              <w:id w:val="-1735694493"/>
              <w:text w:multiLine="1"/>
            </w:sdtPr>
            <w:sdtEndPr/>
            <w:sdtContent>
              <w:r w:rsidR="00094813">
                <w:rPr>
                  <w:b/>
                  <w:bCs/>
                  <w:noProof w:val="0"/>
                  <w:sz w:val="26"/>
                  <w:szCs w:val="26"/>
                  <w:rtl/>
                </w:rPr>
                <w:t>ק</w:t>
              </w:r>
              <w:r w:rsidR="00527635">
                <w:rPr>
                  <w:rFonts w:hint="cs"/>
                  <w:b/>
                  <w:bCs/>
                  <w:noProof w:val="0"/>
                  <w:sz w:val="26"/>
                  <w:szCs w:val="26"/>
                  <w:rtl/>
                </w:rPr>
                <w:t>.</w:t>
              </w:r>
              <w:r w:rsidR="00094813">
                <w:rPr>
                  <w:b/>
                  <w:bCs/>
                  <w:noProof w:val="0"/>
                  <w:sz w:val="26"/>
                  <w:szCs w:val="26"/>
                  <w:rtl/>
                </w:rPr>
                <w:t xml:space="preserve"> נ' ק</w:t>
              </w:r>
              <w:r w:rsidR="00527635">
                <w:rPr>
                  <w:rFonts w:hint="cs"/>
                  <w:b/>
                  <w:bCs/>
                  <w:noProof w:val="0"/>
                  <w:sz w:val="26"/>
                  <w:szCs w:val="26"/>
                  <w:rtl/>
                </w:rPr>
                <w:t>.</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C6E37"/>
    <w:multiLevelType w:val="hybridMultilevel"/>
    <w:tmpl w:val="332C977E"/>
    <w:lvl w:ilvl="0" w:tplc="3AF4EE50">
      <w:start w:val="1"/>
      <w:numFmt w:val="decimal"/>
      <w:lvlText w:val="%1."/>
      <w:lvlJc w:val="left"/>
      <w:pPr>
        <w:ind w:left="720" w:hanging="360"/>
      </w:pPr>
      <w:rPr>
        <w:rFonts w:ascii="David" w:hAnsi="David" w:cs="David"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6F73800"/>
    <w:multiLevelType w:val="hybridMultilevel"/>
    <w:tmpl w:val="809685F2"/>
    <w:lvl w:ilvl="0" w:tplc="F8BA80F6">
      <w:start w:val="1"/>
      <w:numFmt w:val="hebrew1"/>
      <w:lvlText w:val="%1."/>
      <w:lvlJc w:val="center"/>
      <w:pPr>
        <w:ind w:left="1440" w:hanging="360"/>
      </w:pPr>
      <w:rPr>
        <w:rFonts w:cs="David"/>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2" w15:restartNumberingAfterBreak="0">
    <w:nsid w:val="385C7203"/>
    <w:multiLevelType w:val="hybridMultilevel"/>
    <w:tmpl w:val="B91E2520"/>
    <w:lvl w:ilvl="0" w:tplc="86D89ED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61264CE"/>
    <w:multiLevelType w:val="hybridMultilevel"/>
    <w:tmpl w:val="EC2856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8BB7B47"/>
    <w:multiLevelType w:val="multilevel"/>
    <w:tmpl w:val="5AD8946A"/>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43FCC"/>
    <w:rsid w:val="00063E2D"/>
    <w:rsid w:val="00094813"/>
    <w:rsid w:val="000F0586"/>
    <w:rsid w:val="000F74A0"/>
    <w:rsid w:val="001012B6"/>
    <w:rsid w:val="001041ED"/>
    <w:rsid w:val="001258F1"/>
    <w:rsid w:val="0014058F"/>
    <w:rsid w:val="00150ED0"/>
    <w:rsid w:val="001531BE"/>
    <w:rsid w:val="001A456D"/>
    <w:rsid w:val="001C19AF"/>
    <w:rsid w:val="001E0EB7"/>
    <w:rsid w:val="002254F5"/>
    <w:rsid w:val="00232604"/>
    <w:rsid w:val="0024229F"/>
    <w:rsid w:val="00242BA8"/>
    <w:rsid w:val="002914D6"/>
    <w:rsid w:val="002932AF"/>
    <w:rsid w:val="002E7148"/>
    <w:rsid w:val="002F5307"/>
    <w:rsid w:val="0034449E"/>
    <w:rsid w:val="003465AD"/>
    <w:rsid w:val="003819EA"/>
    <w:rsid w:val="003A29ED"/>
    <w:rsid w:val="003C2B44"/>
    <w:rsid w:val="003C669B"/>
    <w:rsid w:val="003D3865"/>
    <w:rsid w:val="003F68D2"/>
    <w:rsid w:val="004216F2"/>
    <w:rsid w:val="00503A57"/>
    <w:rsid w:val="00527635"/>
    <w:rsid w:val="00530E94"/>
    <w:rsid w:val="0055102C"/>
    <w:rsid w:val="00576B23"/>
    <w:rsid w:val="005A1DD1"/>
    <w:rsid w:val="005C341E"/>
    <w:rsid w:val="0060382A"/>
    <w:rsid w:val="00643A25"/>
    <w:rsid w:val="0068447A"/>
    <w:rsid w:val="006A2AB0"/>
    <w:rsid w:val="007117B2"/>
    <w:rsid w:val="00741C90"/>
    <w:rsid w:val="00766B25"/>
    <w:rsid w:val="007B17AC"/>
    <w:rsid w:val="007E22E2"/>
    <w:rsid w:val="00822AA5"/>
    <w:rsid w:val="008353BB"/>
    <w:rsid w:val="00844E5E"/>
    <w:rsid w:val="008736F7"/>
    <w:rsid w:val="00902194"/>
    <w:rsid w:val="0092512A"/>
    <w:rsid w:val="0093301E"/>
    <w:rsid w:val="00944683"/>
    <w:rsid w:val="00946045"/>
    <w:rsid w:val="00A00C6F"/>
    <w:rsid w:val="00A02434"/>
    <w:rsid w:val="00A14AB1"/>
    <w:rsid w:val="00A423C8"/>
    <w:rsid w:val="00A43829"/>
    <w:rsid w:val="00A54660"/>
    <w:rsid w:val="00A60359"/>
    <w:rsid w:val="00A620A8"/>
    <w:rsid w:val="00A7661B"/>
    <w:rsid w:val="00A82520"/>
    <w:rsid w:val="00AA1BE6"/>
    <w:rsid w:val="00AB4D2D"/>
    <w:rsid w:val="00B1119C"/>
    <w:rsid w:val="00B31305"/>
    <w:rsid w:val="00B46075"/>
    <w:rsid w:val="00B46DDE"/>
    <w:rsid w:val="00BB3225"/>
    <w:rsid w:val="00BD48E3"/>
    <w:rsid w:val="00BD5833"/>
    <w:rsid w:val="00BE30DE"/>
    <w:rsid w:val="00C11030"/>
    <w:rsid w:val="00C226D6"/>
    <w:rsid w:val="00C5561A"/>
    <w:rsid w:val="00C635F0"/>
    <w:rsid w:val="00C86501"/>
    <w:rsid w:val="00C962E5"/>
    <w:rsid w:val="00CE7F78"/>
    <w:rsid w:val="00D0218D"/>
    <w:rsid w:val="00D04C58"/>
    <w:rsid w:val="00D12865"/>
    <w:rsid w:val="00D24C33"/>
    <w:rsid w:val="00D617D9"/>
    <w:rsid w:val="00DB5ABC"/>
    <w:rsid w:val="00E01D5C"/>
    <w:rsid w:val="00E54EC1"/>
    <w:rsid w:val="00EA5C70"/>
    <w:rsid w:val="00EC08AF"/>
    <w:rsid w:val="00ED1741"/>
    <w:rsid w:val="00ED2513"/>
    <w:rsid w:val="00F50E07"/>
    <w:rsid w:val="00F6067F"/>
    <w:rsid w:val="00F712B4"/>
    <w:rsid w:val="00FA4782"/>
    <w:rsid w:val="00FE799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D617D9"/>
    <w:pPr>
      <w:ind w:left="720"/>
      <w:contextualSpacing/>
    </w:pPr>
  </w:style>
  <w:style w:type="character" w:styleId="Hyperlink">
    <w:name w:val="Hyperlink"/>
    <w:basedOn w:val="a0"/>
    <w:unhideWhenUsed/>
    <w:rsid w:val="002254F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24337">
      <w:bodyDiv w:val="1"/>
      <w:marLeft w:val="0"/>
      <w:marRight w:val="0"/>
      <w:marTop w:val="0"/>
      <w:marBottom w:val="0"/>
      <w:divBdr>
        <w:top w:val="none" w:sz="0" w:space="0" w:color="auto"/>
        <w:left w:val="none" w:sz="0" w:space="0" w:color="auto"/>
        <w:bottom w:val="none" w:sz="0" w:space="0" w:color="auto"/>
        <w:right w:val="none" w:sz="0" w:space="0" w:color="auto"/>
      </w:divBdr>
    </w:div>
    <w:div w:id="109133863">
      <w:bodyDiv w:val="1"/>
      <w:marLeft w:val="0"/>
      <w:marRight w:val="0"/>
      <w:marTop w:val="0"/>
      <w:marBottom w:val="0"/>
      <w:divBdr>
        <w:top w:val="none" w:sz="0" w:space="0" w:color="auto"/>
        <w:left w:val="none" w:sz="0" w:space="0" w:color="auto"/>
        <w:bottom w:val="none" w:sz="0" w:space="0" w:color="auto"/>
        <w:right w:val="none" w:sz="0" w:space="0" w:color="auto"/>
      </w:divBdr>
    </w:div>
    <w:div w:id="866678443">
      <w:bodyDiv w:val="1"/>
      <w:marLeft w:val="0"/>
      <w:marRight w:val="0"/>
      <w:marTop w:val="0"/>
      <w:marBottom w:val="0"/>
      <w:divBdr>
        <w:top w:val="none" w:sz="0" w:space="0" w:color="auto"/>
        <w:left w:val="none" w:sz="0" w:space="0" w:color="auto"/>
        <w:bottom w:val="none" w:sz="0" w:space="0" w:color="auto"/>
        <w:right w:val="none" w:sz="0" w:space="0" w:color="auto"/>
      </w:divBdr>
    </w:div>
    <w:div w:id="1317802470">
      <w:bodyDiv w:val="1"/>
      <w:marLeft w:val="0"/>
      <w:marRight w:val="0"/>
      <w:marTop w:val="0"/>
      <w:marBottom w:val="0"/>
      <w:divBdr>
        <w:top w:val="none" w:sz="0" w:space="0" w:color="auto"/>
        <w:left w:val="none" w:sz="0" w:space="0" w:color="auto"/>
        <w:bottom w:val="none" w:sz="0" w:space="0" w:color="auto"/>
        <w:right w:val="none" w:sz="0" w:space="0" w:color="auto"/>
      </w:divBdr>
    </w:div>
    <w:div w:id="150401177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1229</Words>
  <Characters>6145</Characters>
  <Application>Microsoft Office Word</Application>
  <DocSecurity>0</DocSecurity>
  <Lines>51</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2023-03-26T14:28:00Z</cp:lastPrinted>
  <dcterms:created xsi:type="dcterms:W3CDTF">2023-05-02T13:08:00Z</dcterms:created>
  <dcterms:modified xsi:type="dcterms:W3CDTF">2023-05-02T13:08:00Z</dcterms:modified>
</cp:coreProperties>
</file>